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48E2C" w14:textId="66A0F4CB" w:rsidR="0085167C" w:rsidRPr="00E913CF" w:rsidRDefault="00FA5795" w:rsidP="00776109">
      <w:pPr>
        <w:pStyle w:val="NoSpacing"/>
        <w:spacing w:line="276" w:lineRule="auto"/>
        <w:jc w:val="both"/>
        <w:rPr>
          <w:rFonts w:ascii="Arial" w:eastAsiaTheme="minorEastAsia" w:hAnsi="Arial" w:cs="Arial"/>
          <w:b/>
          <w:sz w:val="28"/>
          <w:szCs w:val="28"/>
          <w:lang w:eastAsia="zh-CN"/>
        </w:rPr>
      </w:pPr>
      <w:r w:rsidRPr="0052548E">
        <w:rPr>
          <w:rFonts w:ascii="Arial" w:hAnsi="Arial" w:cs="Arial"/>
          <w:b/>
          <w:bCs/>
          <w:sz w:val="28"/>
        </w:rPr>
        <w:t xml:space="preserve">3GPP TSG RAN WG1 </w:t>
      </w:r>
      <w:r>
        <w:rPr>
          <w:rFonts w:ascii="Arial" w:hAnsi="Arial" w:cs="Arial"/>
          <w:b/>
          <w:bCs/>
          <w:sz w:val="28"/>
        </w:rPr>
        <w:t>#10</w:t>
      </w:r>
      <w:r w:rsidR="00F05FB0">
        <w:rPr>
          <w:rFonts w:ascii="Arial" w:hAnsi="Arial" w:cs="Arial"/>
          <w:b/>
          <w:bCs/>
          <w:sz w:val="28"/>
        </w:rPr>
        <w:t>6</w:t>
      </w:r>
      <w:r>
        <w:rPr>
          <w:rFonts w:ascii="Arial" w:hAnsi="Arial" w:cs="Arial"/>
          <w:b/>
          <w:bCs/>
          <w:sz w:val="28"/>
        </w:rPr>
        <w:t>-e</w:t>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eastAsiaTheme="minorEastAsia" w:hAnsi="Arial" w:cs="Arial"/>
          <w:b/>
          <w:sz w:val="28"/>
          <w:szCs w:val="28"/>
          <w:lang w:eastAsia="zh-CN"/>
        </w:rPr>
        <w:tab/>
      </w:r>
      <w:r w:rsidR="0085167C" w:rsidRPr="00E913CF">
        <w:rPr>
          <w:rFonts w:ascii="Arial" w:hAnsi="Arial" w:cs="Arial"/>
          <w:b/>
          <w:sz w:val="28"/>
          <w:szCs w:val="28"/>
        </w:rPr>
        <w:tab/>
      </w:r>
      <w:r w:rsidR="0085167C">
        <w:rPr>
          <w:rFonts w:ascii="Arial" w:hAnsi="Arial" w:cs="Arial"/>
          <w:b/>
          <w:sz w:val="28"/>
          <w:szCs w:val="28"/>
        </w:rPr>
        <w:tab/>
      </w:r>
      <w:r w:rsidR="0085167C">
        <w:rPr>
          <w:rFonts w:ascii="Arial" w:hAnsi="Arial" w:cs="Arial"/>
          <w:b/>
          <w:sz w:val="28"/>
          <w:szCs w:val="28"/>
        </w:rPr>
        <w:tab/>
      </w:r>
      <w:r w:rsidR="0048336F">
        <w:rPr>
          <w:rFonts w:ascii="Arial" w:hAnsi="Arial" w:cs="Arial"/>
          <w:b/>
          <w:sz w:val="28"/>
          <w:szCs w:val="28"/>
        </w:rPr>
        <w:tab/>
      </w:r>
      <w:r w:rsidR="0048336F">
        <w:rPr>
          <w:rFonts w:ascii="Arial" w:hAnsi="Arial" w:cs="Arial"/>
          <w:b/>
          <w:sz w:val="28"/>
          <w:szCs w:val="28"/>
        </w:rPr>
        <w:tab/>
        <w:t xml:space="preserve">   </w:t>
      </w:r>
      <w:r w:rsidR="0085167C" w:rsidRPr="001636EC">
        <w:rPr>
          <w:rFonts w:ascii="Arial" w:hAnsi="Arial" w:cs="Arial"/>
          <w:b/>
          <w:sz w:val="28"/>
          <w:szCs w:val="28"/>
        </w:rPr>
        <w:t>R1-2</w:t>
      </w:r>
      <w:r w:rsidR="00CD6823" w:rsidRPr="001636EC">
        <w:rPr>
          <w:rFonts w:ascii="Arial" w:hAnsi="Arial" w:cs="Arial"/>
          <w:b/>
          <w:sz w:val="28"/>
          <w:szCs w:val="28"/>
        </w:rPr>
        <w:t>1</w:t>
      </w:r>
      <w:r w:rsidR="001636EC">
        <w:rPr>
          <w:rFonts w:ascii="Arial" w:hAnsi="Arial" w:cs="Arial"/>
          <w:b/>
          <w:sz w:val="28"/>
          <w:szCs w:val="28"/>
        </w:rPr>
        <w:t>0</w:t>
      </w:r>
      <w:r w:rsidR="00EF6DBA">
        <w:rPr>
          <w:rFonts w:ascii="Arial" w:hAnsi="Arial" w:cs="Arial"/>
          <w:b/>
          <w:sz w:val="28"/>
          <w:szCs w:val="28"/>
        </w:rPr>
        <w:t>7075</w:t>
      </w:r>
    </w:p>
    <w:p w14:paraId="455EDD7D" w14:textId="0496D663" w:rsidR="0085167C" w:rsidRPr="00E913CF" w:rsidRDefault="00FA5795" w:rsidP="00776109">
      <w:pPr>
        <w:pStyle w:val="NoSpacing"/>
        <w:spacing w:line="276" w:lineRule="auto"/>
        <w:jc w:val="both"/>
        <w:rPr>
          <w:rFonts w:ascii="Arial" w:hAnsi="Arial" w:cs="Arial"/>
          <w:b/>
          <w:sz w:val="28"/>
          <w:szCs w:val="28"/>
        </w:rPr>
      </w:pPr>
      <w:r>
        <w:rPr>
          <w:rFonts w:ascii="Arial" w:eastAsia="MS Mincho" w:hAnsi="Arial" w:cs="Arial"/>
          <w:b/>
          <w:bCs/>
          <w:sz w:val="28"/>
          <w:lang w:eastAsia="ja-JP"/>
        </w:rPr>
        <w:t xml:space="preserve">e-Meeting, </w:t>
      </w:r>
      <w:r w:rsidR="00F05FB0" w:rsidRPr="00F05FB0">
        <w:rPr>
          <w:rFonts w:ascii="Arial" w:eastAsia="MS Mincho" w:hAnsi="Arial" w:cs="Arial"/>
          <w:b/>
          <w:bCs/>
          <w:sz w:val="28"/>
          <w:lang w:eastAsia="ja-JP"/>
        </w:rPr>
        <w:t>August 16th – 27th</w:t>
      </w:r>
      <w:r>
        <w:rPr>
          <w:rFonts w:ascii="Arial" w:eastAsia="MS Mincho" w:hAnsi="Arial" w:cs="Arial"/>
          <w:b/>
          <w:bCs/>
          <w:sz w:val="28"/>
          <w:lang w:eastAsia="ja-JP"/>
        </w:rPr>
        <w:t>, 2021</w:t>
      </w:r>
    </w:p>
    <w:p w14:paraId="05965FD4" w14:textId="77777777" w:rsidR="00C4142E" w:rsidRPr="00E913CF" w:rsidRDefault="00C4142E" w:rsidP="00776109">
      <w:pPr>
        <w:pStyle w:val="NoSpacing"/>
        <w:spacing w:line="276" w:lineRule="auto"/>
        <w:jc w:val="both"/>
        <w:rPr>
          <w:rFonts w:ascii="Arial" w:eastAsiaTheme="minorEastAsia" w:hAnsi="Arial" w:cs="Arial"/>
          <w:b/>
          <w:sz w:val="24"/>
          <w:szCs w:val="24"/>
          <w:lang w:eastAsia="zh-CN"/>
        </w:rPr>
      </w:pPr>
    </w:p>
    <w:p w14:paraId="2BD8256E" w14:textId="7C986D36" w:rsidR="005E1775" w:rsidRPr="001636EC" w:rsidRDefault="005E1775" w:rsidP="00776109">
      <w:pPr>
        <w:pStyle w:val="NoSpacing"/>
        <w:spacing w:line="276" w:lineRule="auto"/>
        <w:jc w:val="both"/>
        <w:rPr>
          <w:rFonts w:ascii="Arial" w:eastAsiaTheme="minorEastAsia" w:hAnsi="Arial" w:cs="Arial"/>
          <w:b/>
          <w:sz w:val="24"/>
          <w:szCs w:val="24"/>
          <w:lang w:eastAsia="zh-CN"/>
        </w:rPr>
      </w:pPr>
      <w:r w:rsidRPr="001636EC">
        <w:rPr>
          <w:rFonts w:ascii="Arial" w:hAnsi="Arial" w:cs="Arial"/>
          <w:b/>
          <w:sz w:val="24"/>
          <w:szCs w:val="24"/>
        </w:rPr>
        <w:t>Agenda Item:</w:t>
      </w:r>
      <w:r w:rsidRPr="001636EC">
        <w:rPr>
          <w:rFonts w:ascii="Arial" w:hAnsi="Arial" w:cs="Arial"/>
          <w:b/>
          <w:sz w:val="24"/>
          <w:szCs w:val="24"/>
        </w:rPr>
        <w:tab/>
      </w:r>
      <w:r w:rsidRPr="001636EC">
        <w:rPr>
          <w:rFonts w:ascii="Arial" w:hAnsi="Arial" w:cs="Arial"/>
          <w:b/>
          <w:sz w:val="24"/>
          <w:szCs w:val="24"/>
        </w:rPr>
        <w:tab/>
      </w:r>
      <w:r w:rsidR="001636EC" w:rsidRPr="001636EC">
        <w:rPr>
          <w:rFonts w:ascii="Arial" w:hAnsi="Arial" w:cs="Arial"/>
          <w:b/>
          <w:sz w:val="24"/>
          <w:szCs w:val="24"/>
        </w:rPr>
        <w:t>5</w:t>
      </w:r>
      <w:r w:rsidR="00492A10">
        <w:rPr>
          <w:rFonts w:ascii="Arial" w:hAnsi="Arial" w:cs="Arial"/>
          <w:b/>
          <w:sz w:val="24"/>
          <w:szCs w:val="24"/>
        </w:rPr>
        <w:t>.2</w:t>
      </w:r>
    </w:p>
    <w:p w14:paraId="74E70920" w14:textId="20EDA070" w:rsidR="00C4142E" w:rsidRPr="001636EC" w:rsidRDefault="00C4142E" w:rsidP="00776109">
      <w:pPr>
        <w:pStyle w:val="NoSpacing"/>
        <w:spacing w:line="276" w:lineRule="auto"/>
        <w:jc w:val="both"/>
        <w:rPr>
          <w:rFonts w:ascii="Arial" w:eastAsia="SimSun" w:hAnsi="Arial" w:cs="Arial"/>
          <w:b/>
          <w:sz w:val="24"/>
          <w:szCs w:val="24"/>
        </w:rPr>
      </w:pPr>
      <w:r w:rsidRPr="001636EC">
        <w:rPr>
          <w:rFonts w:ascii="Arial" w:hAnsi="Arial" w:cs="Arial"/>
          <w:b/>
          <w:sz w:val="24"/>
          <w:szCs w:val="24"/>
        </w:rPr>
        <w:t>Source:</w:t>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Pr="001636EC">
        <w:rPr>
          <w:rFonts w:ascii="Arial" w:hAnsi="Arial" w:cs="Arial"/>
          <w:b/>
          <w:sz w:val="24"/>
          <w:szCs w:val="24"/>
        </w:rPr>
        <w:t>Inter</w:t>
      </w:r>
      <w:r w:rsidR="00A677A0" w:rsidRPr="001636EC">
        <w:rPr>
          <w:rFonts w:ascii="Arial" w:hAnsi="Arial" w:cs="Arial"/>
          <w:b/>
          <w:sz w:val="24"/>
          <w:szCs w:val="24"/>
        </w:rPr>
        <w:t>D</w:t>
      </w:r>
      <w:r w:rsidRPr="001636EC">
        <w:rPr>
          <w:rFonts w:ascii="Arial" w:hAnsi="Arial" w:cs="Arial"/>
          <w:b/>
          <w:sz w:val="24"/>
          <w:szCs w:val="24"/>
        </w:rPr>
        <w:t>igital</w:t>
      </w:r>
      <w:r w:rsidR="004F58C1" w:rsidRPr="001636EC">
        <w:rPr>
          <w:rFonts w:ascii="Arial" w:hAnsi="Arial" w:cs="Arial"/>
          <w:b/>
          <w:sz w:val="24"/>
          <w:szCs w:val="24"/>
        </w:rPr>
        <w:t>,</w:t>
      </w:r>
      <w:r w:rsidR="005E1775" w:rsidRPr="001636EC">
        <w:rPr>
          <w:rFonts w:ascii="Arial" w:hAnsi="Arial" w:cs="Arial"/>
          <w:b/>
          <w:sz w:val="24"/>
          <w:szCs w:val="24"/>
        </w:rPr>
        <w:t xml:space="preserve"> Inc.</w:t>
      </w:r>
    </w:p>
    <w:p w14:paraId="5E560AE8" w14:textId="155D05A8" w:rsidR="00C4142E" w:rsidRPr="00E913CF" w:rsidRDefault="00C4142E" w:rsidP="00776109">
      <w:pPr>
        <w:pStyle w:val="NoSpacing"/>
        <w:spacing w:line="276" w:lineRule="auto"/>
        <w:jc w:val="both"/>
        <w:rPr>
          <w:rFonts w:ascii="Arial" w:eastAsiaTheme="minorEastAsia" w:hAnsi="Arial" w:cs="Arial"/>
          <w:b/>
          <w:sz w:val="24"/>
          <w:szCs w:val="24"/>
        </w:rPr>
      </w:pPr>
      <w:r w:rsidRPr="001636EC">
        <w:rPr>
          <w:rFonts w:ascii="Arial" w:hAnsi="Arial" w:cs="Arial"/>
          <w:b/>
          <w:sz w:val="24"/>
          <w:szCs w:val="24"/>
        </w:rPr>
        <w:t>Title:</w:t>
      </w:r>
      <w:bookmarkStart w:id="0" w:name="Title"/>
      <w:bookmarkEnd w:id="0"/>
      <w:r w:rsidRPr="001636EC">
        <w:rPr>
          <w:rFonts w:ascii="Arial" w:hAnsi="Arial" w:cs="Arial"/>
          <w:b/>
          <w:sz w:val="24"/>
          <w:szCs w:val="24"/>
        </w:rPr>
        <w:tab/>
      </w:r>
      <w:r w:rsidRPr="001636EC">
        <w:rPr>
          <w:rFonts w:ascii="Arial" w:hAnsi="Arial" w:cs="Arial"/>
          <w:b/>
          <w:sz w:val="24"/>
          <w:szCs w:val="24"/>
        </w:rPr>
        <w:tab/>
      </w:r>
      <w:r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5E1775" w:rsidRPr="001636EC">
        <w:rPr>
          <w:rFonts w:ascii="Arial" w:hAnsi="Arial" w:cs="Arial"/>
          <w:b/>
          <w:sz w:val="24"/>
          <w:szCs w:val="24"/>
        </w:rPr>
        <w:tab/>
      </w:r>
      <w:r w:rsidR="001636EC">
        <w:rPr>
          <w:rFonts w:ascii="Arial" w:hAnsi="Arial" w:cs="Arial"/>
          <w:b/>
          <w:sz w:val="24"/>
          <w:szCs w:val="24"/>
        </w:rPr>
        <w:t>Physical layer aspects of small data transmission</w:t>
      </w:r>
    </w:p>
    <w:p w14:paraId="35306FB9" w14:textId="28CE17FE" w:rsidR="00C4142E" w:rsidRPr="00E913CF" w:rsidRDefault="00C4142E" w:rsidP="00776109">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776109">
      <w:pPr>
        <w:pStyle w:val="NoSpacing"/>
        <w:spacing w:line="276" w:lineRule="auto"/>
        <w:jc w:val="both"/>
        <w:rPr>
          <w:rFonts w:ascii="Times" w:hAnsi="Times" w:cs="Times"/>
        </w:rPr>
      </w:pPr>
    </w:p>
    <w:p w14:paraId="1E3AE1A1" w14:textId="0618FE5D" w:rsidR="00C4142E" w:rsidRDefault="00C4142E" w:rsidP="00A70C50">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22CFCE1" w14:textId="77777777" w:rsidR="00111AF4" w:rsidRPr="00176171" w:rsidRDefault="00111AF4" w:rsidP="00176171">
      <w:pPr>
        <w:spacing w:before="240" w:after="0"/>
        <w:jc w:val="both"/>
        <w:rPr>
          <w:rFonts w:eastAsiaTheme="minorEastAsia"/>
          <w:lang w:val="en-US" w:eastAsia="zh-CN"/>
        </w:rPr>
      </w:pPr>
      <w:r w:rsidRPr="00176171">
        <w:rPr>
          <w:rFonts w:eastAsiaTheme="minorEastAsia"/>
          <w:lang w:val="en-US" w:eastAsia="zh-CN"/>
        </w:rPr>
        <w:t>This contribution addresses the following physical layer aspects of small data transmission:</w:t>
      </w:r>
    </w:p>
    <w:p w14:paraId="42EE4909" w14:textId="0C470DF9" w:rsidR="00111AF4" w:rsidRPr="00176171" w:rsidRDefault="00111AF4" w:rsidP="00176171">
      <w:pPr>
        <w:pStyle w:val="ListParagraph"/>
        <w:numPr>
          <w:ilvl w:val="0"/>
          <w:numId w:val="38"/>
        </w:numPr>
        <w:jc w:val="both"/>
        <w:rPr>
          <w:rFonts w:ascii="Times New Roman" w:eastAsiaTheme="minorEastAsia" w:hAnsi="Times New Roman"/>
          <w:sz w:val="20"/>
          <w:szCs w:val="20"/>
          <w:lang w:eastAsia="zh-CN"/>
        </w:rPr>
      </w:pPr>
      <w:r w:rsidRPr="00176171">
        <w:rPr>
          <w:rFonts w:ascii="Times New Roman" w:eastAsiaTheme="minorEastAsia" w:hAnsi="Times New Roman"/>
          <w:sz w:val="20"/>
          <w:szCs w:val="20"/>
          <w:lang w:eastAsia="zh-CN"/>
        </w:rPr>
        <w:t>Determination of SSB subset for TA validation</w:t>
      </w:r>
    </w:p>
    <w:p w14:paraId="7B96D287" w14:textId="77777777" w:rsidR="00111AF4" w:rsidRPr="00176171" w:rsidRDefault="00111AF4" w:rsidP="00176171">
      <w:pPr>
        <w:pStyle w:val="ListParagraph"/>
        <w:numPr>
          <w:ilvl w:val="0"/>
          <w:numId w:val="38"/>
        </w:numPr>
        <w:jc w:val="both"/>
        <w:rPr>
          <w:rFonts w:ascii="Times New Roman" w:eastAsiaTheme="minorEastAsia" w:hAnsi="Times New Roman"/>
          <w:sz w:val="20"/>
          <w:szCs w:val="20"/>
          <w:lang w:eastAsia="zh-CN"/>
        </w:rPr>
      </w:pPr>
      <w:r w:rsidRPr="00176171">
        <w:rPr>
          <w:rFonts w:ascii="Times New Roman" w:eastAsiaTheme="minorEastAsia" w:hAnsi="Times New Roman"/>
          <w:sz w:val="20"/>
          <w:szCs w:val="20"/>
          <w:lang w:eastAsia="zh-CN"/>
        </w:rPr>
        <w:t>Reception of HARQ-ACK information for PUSCH</w:t>
      </w:r>
    </w:p>
    <w:p w14:paraId="657D5F0F" w14:textId="77777777" w:rsidR="00043D58" w:rsidRDefault="00043D58" w:rsidP="00111AF4">
      <w:pPr>
        <w:spacing w:after="0" w:line="276" w:lineRule="auto"/>
        <w:jc w:val="both"/>
        <w:rPr>
          <w:rFonts w:eastAsiaTheme="minorEastAsia"/>
          <w:sz w:val="22"/>
          <w:szCs w:val="22"/>
          <w:lang w:val="en-US" w:eastAsia="zh-CN"/>
        </w:rPr>
      </w:pPr>
    </w:p>
    <w:p w14:paraId="34D0E741" w14:textId="03278390" w:rsidR="00111AF4" w:rsidRPr="00111AF4" w:rsidRDefault="00111AF4" w:rsidP="00111AF4">
      <w:pPr>
        <w:pStyle w:val="Heading1"/>
        <w:numPr>
          <w:ilvl w:val="0"/>
          <w:numId w:val="4"/>
        </w:numPr>
        <w:spacing w:before="0" w:after="0" w:line="276" w:lineRule="auto"/>
        <w:contextualSpacing/>
        <w:jc w:val="both"/>
        <w:rPr>
          <w:rFonts w:cs="Arial"/>
          <w:smallCaps/>
          <w:lang w:val="en-US"/>
        </w:rPr>
      </w:pPr>
      <w:r>
        <w:rPr>
          <w:rFonts w:cs="Arial"/>
          <w:smallCaps/>
          <w:lang w:val="en-US"/>
        </w:rPr>
        <w:t>TA validation</w:t>
      </w:r>
    </w:p>
    <w:p w14:paraId="29C83A95" w14:textId="49097CE0" w:rsidR="00404A79" w:rsidRDefault="00111AF4" w:rsidP="00176171">
      <w:pPr>
        <w:spacing w:before="240"/>
      </w:pPr>
      <w:r>
        <w:t>RAN1 agreed in RAN1#105-e that the SSB subset for RSRP-based TA validation is determined at least based on a configured absolute RSRP threshold. However, no agreement was reached on what the SSB subset consists of. The listed options include 1) within a set of SSBs configured per CG configuration 2) within a set of SSBs configured for all CG configurations 3) within a set of all SSBs actually transmitted as indicated in SIB1 and 4) highest N SSBs that are measured to derive the subset for a UE across all CG configurations.</w:t>
      </w:r>
    </w:p>
    <w:p w14:paraId="0C0882E8" w14:textId="26FA5A38" w:rsidR="00111AF4" w:rsidRDefault="008C5FB5" w:rsidP="00404A79">
      <w:r>
        <w:t xml:space="preserve">One potential issue with </w:t>
      </w:r>
      <w:r w:rsidR="00326C4D">
        <w:t xml:space="preserve">options </w:t>
      </w:r>
      <w:r>
        <w:t xml:space="preserve">(3) and (4) is that the UE can move a large distance while maintaining a good RSRP if the RSRP is allowed to be measured from any SSB because the set of best SSBs can change. While in many cases the TA would still be valid (i.e. the UE would still be at about the same distance from the gNB receiver), this cannot be guaranteed in all cases. Therefore, </w:t>
      </w:r>
      <w:r w:rsidR="00326C4D">
        <w:t xml:space="preserve">option </w:t>
      </w:r>
      <w:r>
        <w:t>(1) or (2) would be preferred. In case the UE would have multiple CG configurations corresponding to non-collocated SSBs</w:t>
      </w:r>
      <w:r w:rsidR="00326C4D">
        <w:t xml:space="preserve"> (multi-TRP scenario), option (2) may have similar issue as option (3) or (4).</w:t>
      </w:r>
    </w:p>
    <w:p w14:paraId="119E382C" w14:textId="54BE7D0B" w:rsidR="00326C4D" w:rsidRPr="00326C4D" w:rsidRDefault="00326C4D" w:rsidP="00404A79">
      <w:pPr>
        <w:rPr>
          <w:b/>
          <w:bCs/>
          <w:i/>
          <w:iCs/>
        </w:rPr>
      </w:pPr>
      <w:r w:rsidRPr="00326C4D">
        <w:rPr>
          <w:b/>
          <w:bCs/>
          <w:i/>
          <w:iCs/>
        </w:rPr>
        <w:t>Proposal 1: SSB subset for RSRP-based TA validation is within a set of SSBs configured per CG configuration.</w:t>
      </w:r>
    </w:p>
    <w:p w14:paraId="53E04CD0" w14:textId="6F5D73A9" w:rsidR="00326C4D" w:rsidRPr="00111AF4" w:rsidRDefault="00326C4D" w:rsidP="00326C4D">
      <w:pPr>
        <w:pStyle w:val="Heading1"/>
        <w:numPr>
          <w:ilvl w:val="0"/>
          <w:numId w:val="4"/>
        </w:numPr>
        <w:spacing w:before="0" w:after="0" w:line="276" w:lineRule="auto"/>
        <w:contextualSpacing/>
        <w:jc w:val="both"/>
        <w:rPr>
          <w:rFonts w:cs="Arial"/>
          <w:smallCaps/>
          <w:lang w:val="en-US"/>
        </w:rPr>
      </w:pPr>
      <w:r>
        <w:rPr>
          <w:rFonts w:cs="Arial"/>
          <w:smallCaps/>
          <w:lang w:val="en-US"/>
        </w:rPr>
        <w:t>Reception of HARQ information for PUSCH</w:t>
      </w:r>
    </w:p>
    <w:p w14:paraId="2ACFDEDF" w14:textId="40B84D30" w:rsidR="00326C4D" w:rsidRDefault="00326C4D" w:rsidP="00404A79">
      <w:r>
        <w:t>RAN2 sent an LS with the following information:</w:t>
      </w:r>
    </w:p>
    <w:tbl>
      <w:tblPr>
        <w:tblStyle w:val="TableGrid1"/>
        <w:tblW w:w="0" w:type="auto"/>
        <w:tblInd w:w="250" w:type="dxa"/>
        <w:tblLook w:val="04A0" w:firstRow="1" w:lastRow="0" w:firstColumn="1" w:lastColumn="0" w:noHBand="0" w:noVBand="1"/>
      </w:tblPr>
      <w:tblGrid>
        <w:gridCol w:w="9831"/>
      </w:tblGrid>
      <w:tr w:rsidR="00326C4D" w14:paraId="706EF4AC" w14:textId="77777777" w:rsidTr="00326C4D">
        <w:tc>
          <w:tcPr>
            <w:tcW w:w="9831" w:type="dxa"/>
          </w:tcPr>
          <w:p w14:paraId="3CA94AD5" w14:textId="77777777" w:rsidR="00326C4D" w:rsidRPr="0086609F" w:rsidRDefault="00326C4D" w:rsidP="00631D3A">
            <w:pPr>
              <w:spacing w:before="60"/>
              <w:rPr>
                <w:rFonts w:ascii="Arial" w:hAnsi="Arial" w:cs="Arial"/>
                <w:b/>
                <w:lang w:eastAsia="zh-CN"/>
              </w:rPr>
            </w:pPr>
            <w:r w:rsidRPr="0086609F">
              <w:rPr>
                <w:rFonts w:ascii="Arial" w:hAnsi="Arial" w:cs="Arial" w:hint="eastAsia"/>
                <w:b/>
                <w:lang w:eastAsia="zh-CN"/>
              </w:rPr>
              <w:t>A</w:t>
            </w:r>
            <w:r w:rsidRPr="0086609F">
              <w:rPr>
                <w:rFonts w:ascii="Arial" w:hAnsi="Arial" w:cs="Arial"/>
                <w:b/>
                <w:lang w:eastAsia="zh-CN"/>
              </w:rPr>
              <w:t>greement:</w:t>
            </w:r>
          </w:p>
          <w:p w14:paraId="45A89BD4" w14:textId="77777777" w:rsidR="00326C4D" w:rsidRPr="0086609F" w:rsidRDefault="00326C4D" w:rsidP="00326C4D">
            <w:pPr>
              <w:pStyle w:val="ListParagraph"/>
              <w:numPr>
                <w:ilvl w:val="0"/>
                <w:numId w:val="47"/>
              </w:numPr>
              <w:overflowPunct w:val="0"/>
              <w:autoSpaceDE w:val="0"/>
              <w:autoSpaceDN w:val="0"/>
              <w:adjustRightInd w:val="0"/>
              <w:snapToGrid w:val="0"/>
              <w:spacing w:after="120"/>
              <w:textAlignment w:val="baseline"/>
              <w:rPr>
                <w:rFonts w:ascii="Arial" w:hAnsi="Arial" w:cs="Arial"/>
                <w:lang w:eastAsia="zh-CN"/>
              </w:rPr>
            </w:pPr>
            <w:r w:rsidRPr="0086609F">
              <w:rPr>
                <w:rFonts w:ascii="Arial" w:hAnsi="Arial" w:cs="Arial"/>
                <w:lang w:eastAsia="zh-CN"/>
              </w:rPr>
              <w:t>The separate search space is common to the UEs performing RA-SDT. Inform RAN1 of this agreement</w:t>
            </w:r>
          </w:p>
        </w:tc>
      </w:tr>
      <w:tr w:rsidR="00326C4D" w:rsidRPr="00326C4D" w14:paraId="50FE2DB8" w14:textId="77777777" w:rsidTr="00326C4D">
        <w:trPr>
          <w:trHeight w:val="2899"/>
        </w:trPr>
        <w:tc>
          <w:tcPr>
            <w:tcW w:w="9831" w:type="dxa"/>
          </w:tcPr>
          <w:p w14:paraId="1D076103" w14:textId="77777777" w:rsidR="00326C4D" w:rsidRPr="00326C4D" w:rsidRDefault="00326C4D" w:rsidP="00326C4D">
            <w:pPr>
              <w:overflowPunct/>
              <w:snapToGrid w:val="0"/>
              <w:spacing w:before="60" w:after="120"/>
              <w:textAlignment w:val="auto"/>
              <w:rPr>
                <w:rFonts w:ascii="Arial" w:hAnsi="Arial" w:cs="Arial"/>
                <w:b/>
                <w:lang w:val="en-US" w:eastAsia="zh-CN"/>
              </w:rPr>
            </w:pPr>
            <w:r w:rsidRPr="00326C4D">
              <w:rPr>
                <w:rFonts w:ascii="Arial" w:hAnsi="Arial" w:cs="Arial" w:hint="eastAsia"/>
                <w:b/>
                <w:lang w:val="en-US" w:eastAsia="zh-CN"/>
              </w:rPr>
              <w:t>A</w:t>
            </w:r>
            <w:r w:rsidRPr="00326C4D">
              <w:rPr>
                <w:rFonts w:ascii="Arial" w:hAnsi="Arial" w:cs="Arial"/>
                <w:b/>
                <w:lang w:val="en-US" w:eastAsia="zh-CN"/>
              </w:rPr>
              <w:t>greement:</w:t>
            </w:r>
          </w:p>
          <w:p w14:paraId="5CAB65FB" w14:textId="0F07F1FE" w:rsidR="00326C4D" w:rsidRDefault="00326C4D" w:rsidP="00326C4D">
            <w:pPr>
              <w:overflowPunct/>
              <w:snapToGrid w:val="0"/>
              <w:spacing w:after="0"/>
              <w:textAlignment w:val="auto"/>
              <w:rPr>
                <w:rFonts w:ascii="Arial" w:hAnsi="Arial" w:cs="Arial"/>
                <w:bCs/>
                <w:lang w:val="en-US" w:eastAsia="zh-CN"/>
              </w:rPr>
            </w:pPr>
          </w:p>
          <w:p w14:paraId="3F2168A9" w14:textId="74E3A7DB" w:rsidR="00326C4D" w:rsidRPr="00326C4D" w:rsidRDefault="00326C4D" w:rsidP="00326C4D">
            <w:pPr>
              <w:overflowPunct/>
              <w:snapToGrid w:val="0"/>
              <w:spacing w:after="0"/>
              <w:textAlignment w:val="auto"/>
              <w:rPr>
                <w:rFonts w:ascii="Arial" w:hAnsi="Arial" w:cs="Arial"/>
                <w:bCs/>
                <w:lang w:val="en-US" w:eastAsia="zh-CN"/>
              </w:rPr>
            </w:pPr>
            <w:r w:rsidRPr="00326C4D">
              <w:rPr>
                <w:rFonts w:ascii="Arial" w:hAnsi="Arial" w:cs="Arial" w:hint="eastAsia"/>
                <w:bCs/>
                <w:lang w:val="en-US" w:eastAsia="zh-CN"/>
              </w:rPr>
              <w:t>F</w:t>
            </w:r>
            <w:r w:rsidRPr="00326C4D">
              <w:rPr>
                <w:rFonts w:ascii="Arial" w:hAnsi="Arial" w:cs="Arial"/>
                <w:bCs/>
                <w:lang w:val="en-US" w:eastAsia="zh-CN"/>
              </w:rPr>
              <w:t>or RA-SDT</w:t>
            </w:r>
          </w:p>
          <w:p w14:paraId="7FB8FA8D" w14:textId="77777777" w:rsidR="00326C4D" w:rsidRPr="00326C4D" w:rsidRDefault="00326C4D" w:rsidP="00326C4D">
            <w:pPr>
              <w:numPr>
                <w:ilvl w:val="0"/>
                <w:numId w:val="47"/>
              </w:numPr>
              <w:overflowPunct/>
              <w:snapToGrid w:val="0"/>
              <w:spacing w:after="0"/>
              <w:contextualSpacing/>
              <w:textAlignment w:val="auto"/>
              <w:rPr>
                <w:rFonts w:ascii="Arial" w:hAnsi="Arial" w:cs="Arial"/>
                <w:bCs/>
                <w:lang w:eastAsia="zh-CN"/>
              </w:rPr>
            </w:pPr>
            <w:r w:rsidRPr="00326C4D">
              <w:rPr>
                <w:rFonts w:ascii="Arial" w:hAnsi="Arial" w:cs="Arial"/>
                <w:lang w:eastAsia="ja-JP"/>
              </w:rPr>
              <w:t>CFRA is not supported for RA-SDT</w:t>
            </w:r>
          </w:p>
          <w:p w14:paraId="7670E749" w14:textId="77777777" w:rsidR="00326C4D" w:rsidRPr="00326C4D" w:rsidRDefault="00326C4D" w:rsidP="00326C4D">
            <w:pPr>
              <w:overflowPunct/>
              <w:snapToGrid w:val="0"/>
              <w:spacing w:after="0"/>
              <w:textAlignment w:val="auto"/>
              <w:rPr>
                <w:rFonts w:ascii="Arial" w:hAnsi="Arial" w:cs="Arial"/>
                <w:bCs/>
                <w:lang w:val="en-US" w:eastAsia="zh-CN"/>
              </w:rPr>
            </w:pPr>
          </w:p>
          <w:p w14:paraId="6465C34B" w14:textId="77777777" w:rsidR="00326C4D" w:rsidRPr="00326C4D" w:rsidRDefault="00326C4D" w:rsidP="00326C4D">
            <w:pPr>
              <w:overflowPunct/>
              <w:snapToGrid w:val="0"/>
              <w:spacing w:after="0"/>
              <w:textAlignment w:val="auto"/>
              <w:rPr>
                <w:rFonts w:ascii="Arial" w:hAnsi="Arial" w:cs="Arial"/>
                <w:bCs/>
                <w:lang w:val="en-US" w:eastAsia="zh-CN"/>
              </w:rPr>
            </w:pPr>
            <w:r w:rsidRPr="00326C4D">
              <w:rPr>
                <w:rFonts w:ascii="Arial" w:hAnsi="Arial" w:cs="Arial" w:hint="eastAsia"/>
                <w:bCs/>
                <w:lang w:val="en-US" w:eastAsia="zh-CN"/>
              </w:rPr>
              <w:t>F</w:t>
            </w:r>
            <w:r w:rsidRPr="00326C4D">
              <w:rPr>
                <w:rFonts w:ascii="Arial" w:hAnsi="Arial" w:cs="Arial"/>
                <w:bCs/>
                <w:lang w:val="en-US" w:eastAsia="zh-CN"/>
              </w:rPr>
              <w:t>or CG-SDT</w:t>
            </w:r>
          </w:p>
          <w:p w14:paraId="2F02041E" w14:textId="77777777" w:rsidR="00326C4D" w:rsidRPr="00326C4D" w:rsidRDefault="00326C4D" w:rsidP="00326C4D">
            <w:pPr>
              <w:numPr>
                <w:ilvl w:val="0"/>
                <w:numId w:val="47"/>
              </w:numPr>
              <w:overflowPunct/>
              <w:snapToGrid w:val="0"/>
              <w:spacing w:after="120"/>
              <w:contextualSpacing/>
              <w:textAlignment w:val="auto"/>
              <w:rPr>
                <w:rFonts w:ascii="Arial" w:hAnsi="Arial" w:cs="Arial"/>
                <w:bCs/>
                <w:lang w:eastAsia="zh-CN"/>
              </w:rPr>
            </w:pPr>
            <w:r w:rsidRPr="00326C4D">
              <w:rPr>
                <w:rFonts w:ascii="Arial" w:hAnsi="Arial" w:cs="Arial"/>
                <w:u w:val="single"/>
                <w:lang w:eastAsia="ja-JP"/>
              </w:rPr>
              <w:t>Working assumption</w:t>
            </w:r>
            <w:r w:rsidRPr="00326C4D">
              <w:rPr>
                <w:rFonts w:ascii="Arial" w:hAnsi="Arial" w:cs="Arial"/>
                <w:lang w:eastAsia="ja-JP"/>
              </w:rPr>
              <w:t>: UE-specific search space is configured for UEs performing CG-SDT. RAN2 asks RAN1 whether this working assumption can be confirmed</w:t>
            </w:r>
          </w:p>
          <w:p w14:paraId="7B64ADA4" w14:textId="77777777" w:rsidR="00326C4D" w:rsidRPr="00326C4D" w:rsidRDefault="00326C4D" w:rsidP="00326C4D">
            <w:pPr>
              <w:numPr>
                <w:ilvl w:val="0"/>
                <w:numId w:val="47"/>
              </w:numPr>
              <w:overflowPunct/>
              <w:snapToGrid w:val="0"/>
              <w:spacing w:after="120"/>
              <w:contextualSpacing/>
              <w:textAlignment w:val="auto"/>
              <w:rPr>
                <w:rFonts w:ascii="Arial" w:hAnsi="Arial" w:cs="Arial"/>
                <w:bCs/>
                <w:lang w:eastAsia="zh-CN"/>
              </w:rPr>
            </w:pPr>
            <w:r w:rsidRPr="00326C4D">
              <w:rPr>
                <w:rFonts w:ascii="Arial" w:hAnsi="Arial" w:cs="Arial"/>
                <w:lang w:eastAsia="ja-JP"/>
              </w:rPr>
              <w:t>CG-SDT resource can be configured on either initial BWP or separate SDT BWP. Ask RAN1 to confirm</w:t>
            </w:r>
          </w:p>
          <w:p w14:paraId="60665600" w14:textId="77777777" w:rsidR="00326C4D" w:rsidRPr="00326C4D" w:rsidRDefault="00326C4D" w:rsidP="00326C4D">
            <w:pPr>
              <w:numPr>
                <w:ilvl w:val="0"/>
                <w:numId w:val="47"/>
              </w:numPr>
              <w:overflowPunct/>
              <w:snapToGrid w:val="0"/>
              <w:spacing w:after="120"/>
              <w:contextualSpacing/>
              <w:textAlignment w:val="auto"/>
              <w:rPr>
                <w:rFonts w:ascii="Arial" w:hAnsi="Arial" w:cs="Arial"/>
                <w:bCs/>
                <w:lang w:eastAsia="zh-CN"/>
              </w:rPr>
            </w:pPr>
            <w:r w:rsidRPr="00326C4D">
              <w:rPr>
                <w:rFonts w:ascii="Arial" w:hAnsi="Arial" w:cs="Arial"/>
                <w:highlight w:val="yellow"/>
                <w:lang w:eastAsia="ja-JP"/>
              </w:rPr>
              <w:t>RAN2 thinks that some feedback may be beneficial in case CG is used for subsequent transmission.  RAN2 assumes that existing mechanism can be used</w:t>
            </w:r>
            <w:r w:rsidRPr="00326C4D">
              <w:rPr>
                <w:rFonts w:ascii="Arial" w:hAnsi="Arial" w:cs="Arial"/>
                <w:lang w:eastAsia="ja-JP"/>
              </w:rPr>
              <w:t>.</w:t>
            </w:r>
          </w:p>
        </w:tc>
      </w:tr>
    </w:tbl>
    <w:p w14:paraId="422CBF04" w14:textId="267C044E" w:rsidR="00326C4D" w:rsidRPr="00326C4D" w:rsidRDefault="00326C4D" w:rsidP="00326C4D">
      <w:pPr>
        <w:tabs>
          <w:tab w:val="left" w:pos="420"/>
          <w:tab w:val="center" w:pos="4680"/>
          <w:tab w:val="right" w:pos="9360"/>
        </w:tabs>
        <w:overflowPunct/>
        <w:snapToGrid w:val="0"/>
        <w:spacing w:before="120" w:after="120"/>
        <w:jc w:val="both"/>
        <w:textAlignment w:val="auto"/>
        <w:rPr>
          <w:rFonts w:eastAsia="DengXian"/>
          <w:kern w:val="2"/>
          <w:lang w:val="en-US" w:eastAsia="zh-CN"/>
        </w:rPr>
      </w:pPr>
      <w:r w:rsidRPr="002710AB">
        <w:rPr>
          <w:rFonts w:eastAsia="DengXian"/>
          <w:kern w:val="2"/>
          <w:lang w:val="en-US" w:eastAsia="zh-CN"/>
        </w:rPr>
        <w:lastRenderedPageBreak/>
        <w:t xml:space="preserve">RAN2 requests RAN1 to provide on whether there is any issue with the assumption of reusing the existing L1 mechanism for agreement 5. </w:t>
      </w:r>
    </w:p>
    <w:p w14:paraId="46225EE8" w14:textId="15658C62" w:rsidR="00326C4D" w:rsidRDefault="00326C4D" w:rsidP="00404A79">
      <w:r w:rsidRPr="002710AB">
        <w:t>In R16</w:t>
      </w:r>
      <w:r w:rsidR="002710AB" w:rsidRPr="002710AB">
        <w:t>, downlink feedback indication (DFI) is introduced to support operation in unlicensed spectrum</w:t>
      </w:r>
      <w:r w:rsidR="002710AB">
        <w:t xml:space="preserve"> and is carried by DCI format </w:t>
      </w:r>
      <w:r w:rsidR="0090712B">
        <w:t>0_1. For CG-SDT, reusing this functionality can be useful for example to allow the UE to stop PDCCH monitoring upon reception of ACK or to fallback to non-SDT operation if multiple NACK’s are received.</w:t>
      </w:r>
    </w:p>
    <w:p w14:paraId="24153E67" w14:textId="7F0796A4" w:rsidR="0090712B" w:rsidRPr="00326C4D" w:rsidRDefault="0090712B" w:rsidP="0090712B">
      <w:pPr>
        <w:rPr>
          <w:b/>
          <w:bCs/>
          <w:i/>
          <w:iCs/>
        </w:rPr>
      </w:pPr>
      <w:r w:rsidRPr="00326C4D">
        <w:rPr>
          <w:b/>
          <w:bCs/>
          <w:i/>
          <w:iCs/>
        </w:rPr>
        <w:t xml:space="preserve">Proposal </w:t>
      </w:r>
      <w:r>
        <w:rPr>
          <w:b/>
          <w:bCs/>
          <w:i/>
          <w:iCs/>
        </w:rPr>
        <w:t>2</w:t>
      </w:r>
      <w:r w:rsidRPr="00326C4D">
        <w:rPr>
          <w:b/>
          <w:bCs/>
          <w:i/>
          <w:iCs/>
        </w:rPr>
        <w:t xml:space="preserve">: </w:t>
      </w:r>
      <w:r>
        <w:rPr>
          <w:b/>
          <w:bCs/>
          <w:i/>
          <w:iCs/>
        </w:rPr>
        <w:t>Confirm RAN2 assumption that existing L1 mechanism (DFI) can be used for CG-SDT.</w:t>
      </w:r>
    </w:p>
    <w:p w14:paraId="058D9EAE" w14:textId="77777777" w:rsidR="004D4B1E" w:rsidRPr="00F05FB0" w:rsidRDefault="004D4B1E" w:rsidP="00397702">
      <w:pPr>
        <w:autoSpaceDE/>
        <w:autoSpaceDN/>
        <w:adjustRightInd/>
        <w:spacing w:after="0" w:line="276" w:lineRule="auto"/>
        <w:jc w:val="both"/>
        <w:rPr>
          <w:rFonts w:eastAsia="Batang"/>
          <w:bCs/>
          <w:iCs/>
          <w:sz w:val="22"/>
          <w:szCs w:val="22"/>
          <w:highlight w:val="yellow"/>
          <w:lang w:eastAsia="zh-CN"/>
        </w:rPr>
      </w:pPr>
    </w:p>
    <w:p w14:paraId="4EAB9447" w14:textId="77777777" w:rsidR="00C4142E" w:rsidRPr="0090712B" w:rsidRDefault="00C4142E" w:rsidP="00A70C50">
      <w:pPr>
        <w:pStyle w:val="Heading1"/>
        <w:numPr>
          <w:ilvl w:val="0"/>
          <w:numId w:val="4"/>
        </w:numPr>
        <w:spacing w:before="0" w:after="0" w:line="276" w:lineRule="auto"/>
        <w:contextualSpacing/>
        <w:jc w:val="both"/>
        <w:rPr>
          <w:rFonts w:cs="Arial"/>
          <w:smallCaps/>
          <w:lang w:val="en-US"/>
        </w:rPr>
      </w:pPr>
      <w:r w:rsidRPr="0090712B">
        <w:rPr>
          <w:rFonts w:cs="Arial"/>
          <w:smallCaps/>
          <w:lang w:val="en-US"/>
        </w:rPr>
        <w:t>Conclusions</w:t>
      </w:r>
    </w:p>
    <w:p w14:paraId="0DE2568A" w14:textId="123E7A45" w:rsidR="00866AD8" w:rsidRDefault="00187241" w:rsidP="001636EC">
      <w:pPr>
        <w:spacing w:after="0" w:line="276" w:lineRule="auto"/>
        <w:contextualSpacing/>
        <w:jc w:val="both"/>
        <w:rPr>
          <w:rFonts w:ascii="Times" w:hAnsi="Times" w:cs="Times"/>
          <w:bCs/>
          <w:iCs/>
          <w:sz w:val="22"/>
          <w:szCs w:val="22"/>
          <w:lang w:eastAsia="zh-CN"/>
        </w:rPr>
      </w:pPr>
      <w:r w:rsidRPr="0090712B">
        <w:rPr>
          <w:rFonts w:ascii="Times" w:hAnsi="Times" w:cs="Times"/>
          <w:bCs/>
          <w:iCs/>
          <w:sz w:val="22"/>
          <w:szCs w:val="22"/>
          <w:lang w:eastAsia="zh-CN"/>
        </w:rPr>
        <w:t xml:space="preserve">In this contribution, </w:t>
      </w:r>
      <w:r w:rsidR="002526AA" w:rsidRPr="0090712B">
        <w:rPr>
          <w:rFonts w:ascii="Times" w:hAnsi="Times" w:cs="Times"/>
          <w:bCs/>
          <w:iCs/>
          <w:sz w:val="22"/>
          <w:szCs w:val="22"/>
          <w:lang w:eastAsia="zh-CN"/>
        </w:rPr>
        <w:t>we make the following proposals:</w:t>
      </w:r>
    </w:p>
    <w:p w14:paraId="01E567EF" w14:textId="77777777" w:rsidR="0090712B" w:rsidRPr="0090712B" w:rsidRDefault="0090712B" w:rsidP="001636EC">
      <w:pPr>
        <w:spacing w:after="0" w:line="276" w:lineRule="auto"/>
        <w:contextualSpacing/>
        <w:jc w:val="both"/>
        <w:rPr>
          <w:rFonts w:ascii="Times" w:hAnsi="Times" w:cs="Times"/>
          <w:bCs/>
          <w:iCs/>
          <w:sz w:val="22"/>
          <w:szCs w:val="22"/>
          <w:lang w:eastAsia="zh-CN"/>
        </w:rPr>
      </w:pPr>
    </w:p>
    <w:p w14:paraId="0F3702D3" w14:textId="77777777" w:rsidR="0090712B" w:rsidRPr="00326C4D" w:rsidRDefault="0090712B" w:rsidP="0090712B">
      <w:pPr>
        <w:rPr>
          <w:b/>
          <w:bCs/>
          <w:i/>
          <w:iCs/>
        </w:rPr>
      </w:pPr>
      <w:r w:rsidRPr="00326C4D">
        <w:rPr>
          <w:b/>
          <w:bCs/>
          <w:i/>
          <w:iCs/>
        </w:rPr>
        <w:t>Proposal 1: SSB subset for RSRP-based TA validation is within a set of SSBs configured per CG configuration.</w:t>
      </w:r>
    </w:p>
    <w:p w14:paraId="1A8C44F7" w14:textId="77777777" w:rsidR="0090712B" w:rsidRPr="00326C4D" w:rsidRDefault="0090712B" w:rsidP="0090712B">
      <w:pPr>
        <w:rPr>
          <w:b/>
          <w:bCs/>
          <w:i/>
          <w:iCs/>
        </w:rPr>
      </w:pPr>
      <w:r w:rsidRPr="00326C4D">
        <w:rPr>
          <w:b/>
          <w:bCs/>
          <w:i/>
          <w:iCs/>
        </w:rPr>
        <w:t xml:space="preserve">Proposal </w:t>
      </w:r>
      <w:r>
        <w:rPr>
          <w:b/>
          <w:bCs/>
          <w:i/>
          <w:iCs/>
        </w:rPr>
        <w:t>2</w:t>
      </w:r>
      <w:r w:rsidRPr="00326C4D">
        <w:rPr>
          <w:b/>
          <w:bCs/>
          <w:i/>
          <w:iCs/>
        </w:rPr>
        <w:t xml:space="preserve">: </w:t>
      </w:r>
      <w:r>
        <w:rPr>
          <w:b/>
          <w:bCs/>
          <w:i/>
          <w:iCs/>
        </w:rPr>
        <w:t>Confirm RAN2 assumption that existing L1 mechanism (DFI) can be used for CG-SDT.</w:t>
      </w:r>
    </w:p>
    <w:p w14:paraId="1EBE4DBF" w14:textId="0439CCE0" w:rsidR="002526AA" w:rsidRPr="00F05FB0" w:rsidRDefault="002526AA" w:rsidP="0090712B">
      <w:pPr>
        <w:spacing w:after="0" w:line="276" w:lineRule="auto"/>
        <w:contextualSpacing/>
        <w:jc w:val="both"/>
        <w:rPr>
          <w:rFonts w:ascii="Times" w:hAnsi="Times" w:cs="Times"/>
          <w:bCs/>
          <w:iCs/>
          <w:highlight w:val="yellow"/>
          <w:lang w:eastAsia="zh-CN"/>
        </w:rPr>
      </w:pPr>
    </w:p>
    <w:p w14:paraId="32220EEF" w14:textId="77777777" w:rsidR="00C4142E" w:rsidRPr="00326C4D" w:rsidRDefault="00C4142E" w:rsidP="00A70C50">
      <w:pPr>
        <w:pStyle w:val="Heading1"/>
        <w:numPr>
          <w:ilvl w:val="0"/>
          <w:numId w:val="4"/>
        </w:numPr>
        <w:spacing w:before="0" w:after="0" w:line="276" w:lineRule="auto"/>
        <w:contextualSpacing/>
        <w:jc w:val="both"/>
        <w:rPr>
          <w:rFonts w:cs="Arial"/>
          <w:smallCaps/>
          <w:lang w:val="en-US"/>
        </w:rPr>
      </w:pPr>
      <w:r w:rsidRPr="00326C4D">
        <w:rPr>
          <w:rFonts w:cs="Arial"/>
          <w:smallCaps/>
          <w:lang w:val="en-US"/>
        </w:rPr>
        <w:t>References</w:t>
      </w:r>
    </w:p>
    <w:p w14:paraId="6925DB6C" w14:textId="3F0509E2" w:rsidR="00776109" w:rsidRPr="00326C4D" w:rsidRDefault="00C4142E" w:rsidP="00A70C50">
      <w:pPr>
        <w:pStyle w:val="BodyText"/>
        <w:numPr>
          <w:ilvl w:val="0"/>
          <w:numId w:val="9"/>
        </w:numPr>
        <w:overflowPunct/>
        <w:autoSpaceDE/>
        <w:autoSpaceDN/>
        <w:adjustRightInd/>
        <w:spacing w:after="0" w:line="276" w:lineRule="auto"/>
        <w:contextualSpacing/>
        <w:textAlignment w:val="auto"/>
        <w:rPr>
          <w:rFonts w:cs="Times"/>
          <w:sz w:val="22"/>
          <w:szCs w:val="20"/>
        </w:rPr>
      </w:pPr>
      <w:r w:rsidRPr="00326C4D">
        <w:rPr>
          <w:rFonts w:eastAsiaTheme="minorEastAsia" w:cs="Times"/>
          <w:sz w:val="22"/>
          <w:szCs w:val="20"/>
          <w:lang w:eastAsia="zh-CN"/>
        </w:rPr>
        <w:t>R</w:t>
      </w:r>
      <w:r w:rsidR="003A68F4" w:rsidRPr="00326C4D">
        <w:rPr>
          <w:rFonts w:eastAsiaTheme="minorEastAsia" w:cs="Times"/>
          <w:sz w:val="22"/>
          <w:szCs w:val="20"/>
          <w:lang w:eastAsia="zh-CN"/>
        </w:rPr>
        <w:t>2</w:t>
      </w:r>
      <w:r w:rsidRPr="00326C4D">
        <w:rPr>
          <w:rFonts w:eastAsiaTheme="minorEastAsia" w:cs="Times"/>
          <w:sz w:val="22"/>
          <w:szCs w:val="20"/>
          <w:lang w:eastAsia="zh-CN"/>
        </w:rPr>
        <w:t>-</w:t>
      </w:r>
      <w:r w:rsidR="00326C4D" w:rsidRPr="00326C4D">
        <w:rPr>
          <w:rFonts w:eastAsiaTheme="minorEastAsia" w:cs="Times"/>
          <w:sz w:val="22"/>
          <w:szCs w:val="20"/>
          <w:lang w:eastAsia="zh-CN"/>
        </w:rPr>
        <w:t>2106561</w:t>
      </w:r>
      <w:r w:rsidRPr="00326C4D">
        <w:rPr>
          <w:rFonts w:eastAsiaTheme="minorEastAsia" w:cs="Times"/>
          <w:sz w:val="22"/>
          <w:szCs w:val="20"/>
          <w:lang w:eastAsia="zh-CN"/>
        </w:rPr>
        <w:t xml:space="preserve">, </w:t>
      </w:r>
      <w:r w:rsidR="00234B99" w:rsidRPr="00326C4D">
        <w:rPr>
          <w:rFonts w:eastAsiaTheme="minorEastAsia" w:cs="Times"/>
          <w:sz w:val="22"/>
          <w:szCs w:val="20"/>
          <w:lang w:eastAsia="zh-CN"/>
        </w:rPr>
        <w:t>“</w:t>
      </w:r>
      <w:r w:rsidR="00326C4D" w:rsidRPr="00326C4D">
        <w:rPr>
          <w:rFonts w:eastAsiaTheme="minorEastAsia" w:cs="Times"/>
          <w:sz w:val="22"/>
          <w:szCs w:val="20"/>
          <w:lang w:eastAsia="zh-CN"/>
        </w:rPr>
        <w:t xml:space="preserve">Reply </w:t>
      </w:r>
      <w:r w:rsidR="000C666E" w:rsidRPr="00326C4D">
        <w:rPr>
          <w:rFonts w:eastAsiaTheme="minorEastAsia" w:cs="Times"/>
          <w:sz w:val="22"/>
          <w:szCs w:val="20"/>
          <w:lang w:eastAsia="zh-CN"/>
        </w:rPr>
        <w:t xml:space="preserve">LS </w:t>
      </w:r>
      <w:r w:rsidR="00326C4D" w:rsidRPr="00326C4D">
        <w:rPr>
          <w:rFonts w:eastAsiaTheme="minorEastAsia" w:cs="Times"/>
          <w:sz w:val="22"/>
          <w:szCs w:val="20"/>
          <w:lang w:eastAsia="zh-CN"/>
        </w:rPr>
        <w:t xml:space="preserve">to RAN1 </w:t>
      </w:r>
      <w:r w:rsidR="008C1130" w:rsidRPr="00326C4D">
        <w:rPr>
          <w:rFonts w:eastAsiaTheme="minorEastAsia" w:cs="Times"/>
          <w:sz w:val="22"/>
          <w:szCs w:val="20"/>
          <w:lang w:eastAsia="zh-CN"/>
        </w:rPr>
        <w:t>on physical layer aspects of small data transmission</w:t>
      </w:r>
      <w:r w:rsidR="00234B99" w:rsidRPr="00326C4D">
        <w:rPr>
          <w:rFonts w:eastAsiaTheme="minorEastAsia" w:cs="Times"/>
          <w:sz w:val="22"/>
          <w:szCs w:val="20"/>
          <w:lang w:eastAsia="zh-CN"/>
        </w:rPr>
        <w:t xml:space="preserve">”, </w:t>
      </w:r>
      <w:r w:rsidR="001636EC" w:rsidRPr="00326C4D">
        <w:rPr>
          <w:rFonts w:eastAsiaTheme="minorEastAsia" w:cs="Times"/>
          <w:sz w:val="22"/>
          <w:szCs w:val="20"/>
          <w:lang w:eastAsia="zh-CN"/>
        </w:rPr>
        <w:t>RAN2</w:t>
      </w:r>
      <w:r w:rsidR="001636EC" w:rsidRPr="00326C4D">
        <w:rPr>
          <w:rFonts w:cs="Times"/>
          <w:sz w:val="22"/>
          <w:szCs w:val="20"/>
        </w:rPr>
        <w:t>.</w:t>
      </w:r>
    </w:p>
    <w:p w14:paraId="15167FC8" w14:textId="1B30E730"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6B7F5971" w14:textId="77777777" w:rsidR="009F6F48" w:rsidRPr="00B11D07" w:rsidRDefault="009F6F48" w:rsidP="009F6F48">
      <w:pPr>
        <w:autoSpaceDE/>
        <w:autoSpaceDN/>
        <w:adjustRightInd/>
        <w:spacing w:after="0" w:line="276" w:lineRule="auto"/>
        <w:rPr>
          <w:rFonts w:ascii="Times" w:hAnsi="Times" w:cs="Times"/>
          <w:b/>
          <w:i/>
          <w:lang w:eastAsia="zh-CN"/>
        </w:rPr>
      </w:pPr>
    </w:p>
    <w:p w14:paraId="0F973AAA" w14:textId="635A6474" w:rsidR="009F6F48" w:rsidRPr="00E913CF" w:rsidRDefault="009F6F48" w:rsidP="009F6F48">
      <w:pPr>
        <w:pStyle w:val="Heading1"/>
        <w:numPr>
          <w:ilvl w:val="0"/>
          <w:numId w:val="4"/>
        </w:numPr>
        <w:spacing w:before="0" w:after="0" w:line="276" w:lineRule="auto"/>
        <w:contextualSpacing/>
        <w:jc w:val="both"/>
        <w:rPr>
          <w:rFonts w:cs="Arial"/>
          <w:smallCaps/>
          <w:lang w:val="en-US"/>
        </w:rPr>
      </w:pPr>
      <w:r>
        <w:rPr>
          <w:rFonts w:cs="Arial"/>
          <w:smallCaps/>
          <w:lang w:val="en-US"/>
        </w:rPr>
        <w:t>Appendix A: Past Agreements</w:t>
      </w:r>
    </w:p>
    <w:p w14:paraId="3E21D383" w14:textId="6DBAC7C1" w:rsidR="009F6F48" w:rsidRDefault="009F6F48" w:rsidP="009F6F48">
      <w:pPr>
        <w:pStyle w:val="BodyText"/>
        <w:overflowPunct/>
        <w:autoSpaceDE/>
        <w:autoSpaceDN/>
        <w:adjustRightInd/>
        <w:spacing w:after="0" w:line="276" w:lineRule="auto"/>
        <w:contextualSpacing/>
        <w:textAlignment w:val="auto"/>
        <w:rPr>
          <w:rFonts w:cs="Times"/>
          <w:sz w:val="22"/>
          <w:szCs w:val="20"/>
        </w:rPr>
      </w:pPr>
    </w:p>
    <w:p w14:paraId="42CD7CA4" w14:textId="7324804E" w:rsidR="00CE3C86" w:rsidRPr="00952B88" w:rsidRDefault="00CE3C86" w:rsidP="00CE3C86">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w:t>
      </w:r>
      <w:r>
        <w:rPr>
          <w:rFonts w:cs="Times"/>
          <w:b/>
          <w:bCs/>
          <w:sz w:val="22"/>
          <w:szCs w:val="20"/>
          <w:u w:val="single"/>
        </w:rPr>
        <w:t>5</w:t>
      </w:r>
      <w:r w:rsidRPr="00952B88">
        <w:rPr>
          <w:rFonts w:cs="Times"/>
          <w:b/>
          <w:bCs/>
          <w:sz w:val="22"/>
          <w:szCs w:val="20"/>
          <w:u w:val="single"/>
        </w:rPr>
        <w:t>-e</w:t>
      </w:r>
    </w:p>
    <w:p w14:paraId="0BF7FB50" w14:textId="77777777" w:rsidR="00CE3C86" w:rsidRDefault="00CE3C86" w:rsidP="00CE3C86">
      <w:r>
        <w:t>Update on 5/25:</w:t>
      </w:r>
    </w:p>
    <w:p w14:paraId="4370E562" w14:textId="77777777" w:rsidR="00CE3C86" w:rsidRDefault="00CE3C86" w:rsidP="00CE3C86">
      <w:pPr>
        <w:rPr>
          <w:highlight w:val="green"/>
        </w:rPr>
      </w:pPr>
      <w:r>
        <w:rPr>
          <w:highlight w:val="green"/>
        </w:rPr>
        <w:t>Agreement:</w:t>
      </w:r>
    </w:p>
    <w:p w14:paraId="5D1CB8B7" w14:textId="77777777" w:rsidR="00CE3C86" w:rsidRDefault="00CE3C86" w:rsidP="00CE3C86">
      <w:pPr>
        <w:numPr>
          <w:ilvl w:val="0"/>
          <w:numId w:val="39"/>
        </w:numPr>
        <w:overflowPunct/>
        <w:autoSpaceDE/>
        <w:autoSpaceDN/>
        <w:adjustRightInd/>
        <w:spacing w:after="0"/>
        <w:textAlignment w:val="auto"/>
      </w:pPr>
      <w:r>
        <w:t>The SSB-to-PUSCH resource mapping within the CG configuration is implicitly defined.</w:t>
      </w:r>
    </w:p>
    <w:p w14:paraId="31E735B3" w14:textId="77777777" w:rsidR="00CE3C86" w:rsidRDefault="00CE3C86" w:rsidP="00CE3C86">
      <w:pPr>
        <w:numPr>
          <w:ilvl w:val="0"/>
          <w:numId w:val="40"/>
        </w:numPr>
        <w:overflowPunct/>
        <w:autoSpaceDE/>
        <w:autoSpaceDN/>
        <w:adjustRightInd/>
        <w:spacing w:after="0"/>
        <w:textAlignment w:val="auto"/>
      </w:pPr>
      <w:r>
        <w:t>The ordering of the SSB and CG PUSCH resources are to be captured in RAN1 spec.</w:t>
      </w:r>
    </w:p>
    <w:p w14:paraId="0E03D91D" w14:textId="77777777" w:rsidR="00CE3C86" w:rsidRDefault="00CE3C86" w:rsidP="00CE3C86">
      <w:pPr>
        <w:numPr>
          <w:ilvl w:val="1"/>
          <w:numId w:val="41"/>
        </w:numPr>
        <w:overflowPunct/>
        <w:autoSpaceDE/>
        <w:autoSpaceDN/>
        <w:adjustRightInd/>
        <w:spacing w:after="0"/>
        <w:textAlignment w:val="auto"/>
      </w:pPr>
      <w:r>
        <w:t>A PUSCH resource refers to a transmission occasion and a DMRS resource used for PUSCH transmission</w:t>
      </w:r>
    </w:p>
    <w:p w14:paraId="44ACF325" w14:textId="77777777" w:rsidR="00CE3C86" w:rsidRDefault="00CE3C86" w:rsidP="00CE3C86">
      <w:pPr>
        <w:numPr>
          <w:ilvl w:val="1"/>
          <w:numId w:val="41"/>
        </w:numPr>
        <w:overflowPunct/>
        <w:autoSpaceDE/>
        <w:autoSpaceDN/>
        <w:adjustRightInd/>
        <w:spacing w:after="0"/>
        <w:textAlignment w:val="auto"/>
      </w:pPr>
      <w:r>
        <w:t>The ordering of the SSB can reuse from the SSB-to-RO mapping</w:t>
      </w:r>
    </w:p>
    <w:p w14:paraId="39F8A277" w14:textId="77777777" w:rsidR="00CE3C86" w:rsidRDefault="00CE3C86" w:rsidP="00CE3C86">
      <w:pPr>
        <w:numPr>
          <w:ilvl w:val="1"/>
          <w:numId w:val="41"/>
        </w:numPr>
        <w:overflowPunct/>
        <w:autoSpaceDE/>
        <w:autoSpaceDN/>
        <w:adjustRightInd/>
        <w:spacing w:after="0"/>
        <w:textAlignment w:val="auto"/>
      </w:pPr>
      <w:r>
        <w:t>The ordering of CG PUSCH resources can reuse from that of MsgA PUSCH as much as possible</w:t>
      </w:r>
    </w:p>
    <w:p w14:paraId="127D88C6" w14:textId="77777777" w:rsidR="00CE3C86" w:rsidRDefault="00CE3C86" w:rsidP="00CE3C86">
      <w:pPr>
        <w:numPr>
          <w:ilvl w:val="0"/>
          <w:numId w:val="40"/>
        </w:numPr>
        <w:overflowPunct/>
        <w:autoSpaceDE/>
        <w:autoSpaceDN/>
        <w:adjustRightInd/>
        <w:spacing w:after="0"/>
        <w:textAlignment w:val="auto"/>
      </w:pPr>
      <w:r>
        <w:t>FFS determination of mapping ratio and association period, e.g., explicitly signaled or implicitly derived</w:t>
      </w:r>
    </w:p>
    <w:p w14:paraId="74F4C9BA" w14:textId="77777777" w:rsidR="00CE3C86" w:rsidRDefault="00CE3C86" w:rsidP="00CE3C86">
      <w:pPr>
        <w:numPr>
          <w:ilvl w:val="0"/>
          <w:numId w:val="40"/>
        </w:numPr>
        <w:overflowPunct/>
        <w:autoSpaceDE/>
        <w:autoSpaceDN/>
        <w:adjustRightInd/>
        <w:spacing w:after="0"/>
        <w:textAlignment w:val="auto"/>
      </w:pPr>
      <w:r>
        <w:t>FFS any limitation on the combination of the parameters for CG resources</w:t>
      </w:r>
    </w:p>
    <w:p w14:paraId="6DEBCE71" w14:textId="77777777" w:rsidR="00CE3C86" w:rsidRDefault="00CE3C86" w:rsidP="00CE3C86">
      <w:pPr>
        <w:rPr>
          <w:b/>
          <w:i/>
          <w:iCs/>
          <w:color w:val="FF0000"/>
        </w:rPr>
      </w:pPr>
    </w:p>
    <w:p w14:paraId="0A5BB838" w14:textId="77777777" w:rsidR="00CE3C86" w:rsidRDefault="00CE3C86" w:rsidP="00CE3C86">
      <w:r>
        <w:t>Update on 5/27:</w:t>
      </w:r>
    </w:p>
    <w:p w14:paraId="7BB6F6DC" w14:textId="77777777" w:rsidR="00CE3C86" w:rsidRDefault="00CE3C86" w:rsidP="00CE3C86">
      <w:pPr>
        <w:rPr>
          <w:highlight w:val="green"/>
        </w:rPr>
      </w:pPr>
      <w:r>
        <w:rPr>
          <w:highlight w:val="green"/>
        </w:rPr>
        <w:t>Agreement:</w:t>
      </w:r>
    </w:p>
    <w:p w14:paraId="352950CE" w14:textId="77777777" w:rsidR="00CE3C86" w:rsidRDefault="00CE3C86" w:rsidP="00CE3C86">
      <w:pPr>
        <w:pStyle w:val="ListParagraph"/>
        <w:numPr>
          <w:ilvl w:val="0"/>
          <w:numId w:val="42"/>
        </w:numPr>
      </w:pPr>
      <w:r>
        <w:t>The SSB subset for RSRP based TA validation is determined at least based on a configured absolute RSRP threshold.</w:t>
      </w:r>
    </w:p>
    <w:p w14:paraId="0D0DC47B" w14:textId="77777777" w:rsidR="00CE3C86" w:rsidRDefault="00CE3C86" w:rsidP="00CE3C86">
      <w:pPr>
        <w:pStyle w:val="ListParagraph"/>
        <w:numPr>
          <w:ilvl w:val="0"/>
          <w:numId w:val="42"/>
        </w:numPr>
      </w:pPr>
      <w:r>
        <w:t>FFS the SSB subset which could be</w:t>
      </w:r>
    </w:p>
    <w:p w14:paraId="64376DC3" w14:textId="77777777" w:rsidR="00CE3C86" w:rsidRPr="006C1B6D" w:rsidRDefault="00CE3C86" w:rsidP="00CE3C86">
      <w:pPr>
        <w:pStyle w:val="ListParagraph"/>
        <w:numPr>
          <w:ilvl w:val="1"/>
          <w:numId w:val="42"/>
        </w:numPr>
      </w:pPr>
      <w:r w:rsidRPr="006C1B6D">
        <w:t>within a set of SSBs configured per CG configuration</w:t>
      </w:r>
    </w:p>
    <w:p w14:paraId="3D7AABD4" w14:textId="77777777" w:rsidR="00CE3C86" w:rsidRPr="006C1B6D" w:rsidRDefault="00CE3C86" w:rsidP="00CE3C86">
      <w:pPr>
        <w:pStyle w:val="ListParagraph"/>
        <w:numPr>
          <w:ilvl w:val="1"/>
          <w:numId w:val="42"/>
        </w:numPr>
      </w:pPr>
      <w:r w:rsidRPr="006C1B6D">
        <w:t>or within a set of SSBs configured for all CG configurations</w:t>
      </w:r>
    </w:p>
    <w:p w14:paraId="261EC3A0" w14:textId="77777777" w:rsidR="00CE3C86" w:rsidRPr="006C1B6D" w:rsidRDefault="00CE3C86" w:rsidP="00CE3C86">
      <w:pPr>
        <w:pStyle w:val="ListParagraph"/>
        <w:numPr>
          <w:ilvl w:val="1"/>
          <w:numId w:val="42"/>
        </w:numPr>
      </w:pPr>
      <w:r w:rsidRPr="006C1B6D">
        <w:t>or within a set of all SSBs actually transmitted as indicated in SIB1.</w:t>
      </w:r>
    </w:p>
    <w:p w14:paraId="0543A247" w14:textId="77777777" w:rsidR="00CE3C86" w:rsidRPr="006C1B6D" w:rsidRDefault="00CE3C86" w:rsidP="00CE3C86">
      <w:pPr>
        <w:pStyle w:val="ListParagraph"/>
        <w:numPr>
          <w:ilvl w:val="1"/>
          <w:numId w:val="42"/>
        </w:numPr>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p w14:paraId="0EB52668" w14:textId="77777777" w:rsidR="00CE3C86" w:rsidRDefault="00CE3C86" w:rsidP="00CE3C86"/>
    <w:p w14:paraId="568F287D" w14:textId="77777777" w:rsidR="00CE3C86" w:rsidRDefault="00CE3C86" w:rsidP="00CE3C86">
      <w:r>
        <w:lastRenderedPageBreak/>
        <w:t xml:space="preserve">Draft LS to RAN2 as in </w:t>
      </w:r>
      <w:hyperlink r:id="rId11" w:history="1">
        <w:r>
          <w:rPr>
            <w:rStyle w:val="Hyperlink"/>
          </w:rPr>
          <w:t>R1-2106130</w:t>
        </w:r>
      </w:hyperlink>
      <w:r>
        <w:t xml:space="preserve"> is </w:t>
      </w:r>
      <w:r w:rsidRPr="006C1B6D">
        <w:rPr>
          <w:highlight w:val="green"/>
        </w:rPr>
        <w:t>approved</w:t>
      </w:r>
      <w:r>
        <w:t xml:space="preserve">, with final LS in </w:t>
      </w:r>
      <w:hyperlink r:id="rId12" w:history="1">
        <w:r>
          <w:rPr>
            <w:rStyle w:val="Hyperlink"/>
            <w:highlight w:val="green"/>
          </w:rPr>
          <w:t>R1-2106335</w:t>
        </w:r>
      </w:hyperlink>
      <w:r w:rsidRPr="00FC6D84">
        <w:rPr>
          <w:highlight w:val="green"/>
        </w:rPr>
        <w:t>.</w:t>
      </w:r>
    </w:p>
    <w:p w14:paraId="4D1132E7" w14:textId="77777777" w:rsidR="00CE3C86" w:rsidRDefault="00CE3C86" w:rsidP="00CE3C86">
      <w:r>
        <w:t xml:space="preserve">Latest draft LS to RAN4 is </w:t>
      </w:r>
      <w:r w:rsidRPr="006C1B6D">
        <w:rPr>
          <w:highlight w:val="green"/>
        </w:rPr>
        <w:t>approved</w:t>
      </w:r>
      <w:r>
        <w:t xml:space="preserve">, with final LS in </w:t>
      </w:r>
      <w:hyperlink r:id="rId13" w:history="1">
        <w:r>
          <w:rPr>
            <w:rStyle w:val="Hyperlink"/>
            <w:highlight w:val="green"/>
          </w:rPr>
          <w:t>R1-2106309</w:t>
        </w:r>
      </w:hyperlink>
    </w:p>
    <w:p w14:paraId="27DAAC8C" w14:textId="77777777" w:rsidR="00CE3C86" w:rsidRDefault="00CE3C86" w:rsidP="00CE3C86">
      <w:r>
        <w:t xml:space="preserve">Final summary in </w:t>
      </w:r>
      <w:hyperlink r:id="rId14" w:history="1">
        <w:r>
          <w:rPr>
            <w:rStyle w:val="Hyperlink"/>
          </w:rPr>
          <w:t>R1-2106129</w:t>
        </w:r>
      </w:hyperlink>
    </w:p>
    <w:p w14:paraId="6BDCAD79" w14:textId="77777777" w:rsidR="00CE3C86" w:rsidRDefault="00CE3C86" w:rsidP="009F6F48">
      <w:pPr>
        <w:pStyle w:val="BodyText"/>
        <w:overflowPunct/>
        <w:autoSpaceDE/>
        <w:autoSpaceDN/>
        <w:adjustRightInd/>
        <w:spacing w:after="0" w:line="276" w:lineRule="auto"/>
        <w:contextualSpacing/>
        <w:textAlignment w:val="auto"/>
        <w:rPr>
          <w:rFonts w:cs="Times"/>
          <w:b/>
          <w:bCs/>
          <w:sz w:val="22"/>
          <w:szCs w:val="20"/>
          <w:u w:val="single"/>
        </w:rPr>
      </w:pPr>
    </w:p>
    <w:p w14:paraId="318E1620" w14:textId="5B0BB99D" w:rsidR="00952B88" w:rsidRPr="00952B88" w:rsidRDefault="00952B88"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RAN1#104b-e</w:t>
      </w:r>
    </w:p>
    <w:p w14:paraId="601F269C" w14:textId="261911F4" w:rsidR="00952B88" w:rsidRDefault="00952B88" w:rsidP="009F6F48">
      <w:pPr>
        <w:pStyle w:val="BodyText"/>
        <w:overflowPunct/>
        <w:autoSpaceDE/>
        <w:autoSpaceDN/>
        <w:adjustRightInd/>
        <w:spacing w:after="0" w:line="276" w:lineRule="auto"/>
        <w:contextualSpacing/>
        <w:textAlignment w:val="auto"/>
        <w:rPr>
          <w:rFonts w:cs="Times"/>
          <w:sz w:val="22"/>
          <w:szCs w:val="20"/>
        </w:rPr>
      </w:pPr>
    </w:p>
    <w:p w14:paraId="2D0B0322"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 xml:space="preserve">Update on 4/16: latest LS content in v0.0.9 is </w:t>
      </w:r>
      <w:r w:rsidRPr="00952B88">
        <w:rPr>
          <w:rFonts w:ascii="Times" w:eastAsia="Batang" w:hAnsi="Times"/>
          <w:szCs w:val="24"/>
          <w:highlight w:val="green"/>
        </w:rPr>
        <w:t>endorsed</w:t>
      </w:r>
      <w:r w:rsidRPr="00952B88">
        <w:rPr>
          <w:rFonts w:ascii="Times" w:eastAsia="Batang" w:hAnsi="Times"/>
          <w:szCs w:val="24"/>
        </w:rPr>
        <w:t xml:space="preserve">. Final LS (cc RAN4) in R1-2103994 </w:t>
      </w:r>
      <w:r w:rsidRPr="00952B88">
        <w:rPr>
          <w:rFonts w:ascii="Times" w:eastAsia="Batang" w:hAnsi="Times"/>
          <w:szCs w:val="24"/>
        </w:rPr>
        <w:sym w:font="Wingdings" w:char="F0E0"/>
      </w:r>
      <w:r w:rsidRPr="00952B88">
        <w:rPr>
          <w:rFonts w:ascii="Times" w:eastAsia="Batang" w:hAnsi="Times"/>
          <w:szCs w:val="24"/>
        </w:rPr>
        <w:t xml:space="preserve"> revised in </w:t>
      </w:r>
      <w:r w:rsidRPr="00952B88">
        <w:rPr>
          <w:rFonts w:ascii="Times" w:eastAsia="Batang" w:hAnsi="Times"/>
          <w:szCs w:val="24"/>
          <w:highlight w:val="green"/>
        </w:rPr>
        <w:t>R1-2104012</w:t>
      </w:r>
    </w:p>
    <w:p w14:paraId="1A83F377"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Summary of email discussion in R1-2103995.</w:t>
      </w:r>
    </w:p>
    <w:p w14:paraId="531FD3FA" w14:textId="77777777" w:rsidR="00952B88" w:rsidRPr="00952B88" w:rsidRDefault="00952B88" w:rsidP="00952B88">
      <w:pPr>
        <w:overflowPunct/>
        <w:autoSpaceDE/>
        <w:autoSpaceDN/>
        <w:adjustRightInd/>
        <w:spacing w:after="0"/>
        <w:textAlignment w:val="auto"/>
        <w:rPr>
          <w:rFonts w:eastAsia="Batang"/>
          <w:highlight w:val="cyan"/>
          <w:lang w:eastAsia="x-none"/>
        </w:rPr>
      </w:pPr>
    </w:p>
    <w:p w14:paraId="2F5929BA"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Update on 4/16:</w:t>
      </w:r>
    </w:p>
    <w:p w14:paraId="0AA29306" w14:textId="77777777" w:rsidR="00952B88" w:rsidRPr="00952B88" w:rsidRDefault="00952B88" w:rsidP="00952B88">
      <w:pPr>
        <w:overflowPunct/>
        <w:autoSpaceDE/>
        <w:autoSpaceDN/>
        <w:adjustRightInd/>
        <w:spacing w:after="0"/>
        <w:textAlignment w:val="auto"/>
        <w:rPr>
          <w:rFonts w:ascii="Times" w:eastAsia="Batang" w:hAnsi="Times"/>
          <w:b/>
          <w:bCs/>
          <w:szCs w:val="24"/>
          <w:u w:val="single"/>
        </w:rPr>
      </w:pPr>
      <w:r w:rsidRPr="00952B88">
        <w:rPr>
          <w:rFonts w:ascii="Times" w:eastAsia="Batang" w:hAnsi="Times"/>
          <w:b/>
          <w:bCs/>
          <w:szCs w:val="24"/>
          <w:u w:val="single"/>
        </w:rPr>
        <w:t>Conclusion:</w:t>
      </w:r>
    </w:p>
    <w:p w14:paraId="19EF077A" w14:textId="77777777" w:rsidR="00952B88" w:rsidRPr="00952B88" w:rsidRDefault="00952B88" w:rsidP="00952B88">
      <w:pPr>
        <w:numPr>
          <w:ilvl w:val="0"/>
          <w:numId w:val="34"/>
        </w:numPr>
        <w:overflowPunct/>
        <w:autoSpaceDE/>
        <w:autoSpaceDN/>
        <w:adjustRightInd/>
        <w:spacing w:after="0"/>
        <w:textAlignment w:val="auto"/>
        <w:rPr>
          <w:rFonts w:ascii="Times" w:eastAsia="Batang" w:hAnsi="Times"/>
          <w:szCs w:val="24"/>
        </w:rPr>
      </w:pPr>
      <w:r w:rsidRPr="00952B88">
        <w:rPr>
          <w:rFonts w:ascii="Times" w:eastAsia="Batang" w:hAnsi="Times"/>
          <w:szCs w:val="24"/>
        </w:rPr>
        <w:t>It is RAN1’s common understanding that the CG configuration mechanism in licensed band can be reused for CG-SDT in principle.</w:t>
      </w:r>
    </w:p>
    <w:p w14:paraId="01FE92F0"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Next check point: 4/19</w:t>
      </w:r>
    </w:p>
    <w:p w14:paraId="1E57BCD5" w14:textId="77777777" w:rsidR="00952B88" w:rsidRPr="00952B88" w:rsidRDefault="00952B88" w:rsidP="00952B88">
      <w:pPr>
        <w:overflowPunct/>
        <w:autoSpaceDE/>
        <w:autoSpaceDN/>
        <w:adjustRightInd/>
        <w:spacing w:after="0"/>
        <w:textAlignment w:val="auto"/>
        <w:rPr>
          <w:rFonts w:ascii="Times" w:eastAsia="Batang" w:hAnsi="Times"/>
          <w:szCs w:val="24"/>
          <w:highlight w:val="green"/>
        </w:rPr>
      </w:pPr>
      <w:r w:rsidRPr="00952B88">
        <w:rPr>
          <w:rFonts w:ascii="Times" w:eastAsia="Batang" w:hAnsi="Times"/>
          <w:szCs w:val="24"/>
          <w:highlight w:val="green"/>
        </w:rPr>
        <w:t>Agreement:</w:t>
      </w:r>
    </w:p>
    <w:p w14:paraId="26F40156" w14:textId="77777777" w:rsidR="00952B88" w:rsidRPr="00952B88" w:rsidRDefault="00952B88" w:rsidP="00952B88">
      <w:pPr>
        <w:numPr>
          <w:ilvl w:val="0"/>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CG resources per CG configuration are associated with a set of SSB(s) configured by explicit signalling.</w:t>
      </w:r>
    </w:p>
    <w:p w14:paraId="79E4156F" w14:textId="77777777" w:rsidR="00952B88" w:rsidRPr="00952B88" w:rsidRDefault="00952B88" w:rsidP="00952B88">
      <w:pPr>
        <w:numPr>
          <w:ilvl w:val="1"/>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how to define an SSB-to-PUSCH resource mapping within the CG configuration.</w:t>
      </w:r>
    </w:p>
    <w:p w14:paraId="3E173152" w14:textId="77777777" w:rsidR="00952B88" w:rsidRPr="00952B88" w:rsidRDefault="00952B88" w:rsidP="00952B88">
      <w:pPr>
        <w:numPr>
          <w:ilvl w:val="1"/>
          <w:numId w:val="35"/>
        </w:numPr>
        <w:overflowPunct/>
        <w:autoSpaceDE/>
        <w:autoSpaceDN/>
        <w:adjustRightInd/>
        <w:spacing w:after="0"/>
        <w:textAlignment w:val="auto"/>
        <w:rPr>
          <w:rFonts w:ascii="Times" w:eastAsia="Batang" w:hAnsi="Times"/>
          <w:szCs w:val="24"/>
        </w:rPr>
      </w:pPr>
      <w:r w:rsidRPr="00952B88">
        <w:rPr>
          <w:rFonts w:ascii="Times" w:eastAsia="Batang" w:hAnsi="Times"/>
          <w:szCs w:val="24"/>
        </w:rPr>
        <w:t>FFS specific changes to the CG configuration to support the additional SSB-to-PUSCH mapping, if any.</w:t>
      </w:r>
    </w:p>
    <w:p w14:paraId="1ACBE325" w14:textId="77777777" w:rsidR="00952B88" w:rsidRPr="00952B88" w:rsidRDefault="00952B88" w:rsidP="00952B88">
      <w:pPr>
        <w:overflowPunct/>
        <w:autoSpaceDE/>
        <w:autoSpaceDN/>
        <w:adjustRightInd/>
        <w:spacing w:after="0"/>
        <w:textAlignment w:val="auto"/>
        <w:rPr>
          <w:rFonts w:ascii="Times" w:eastAsia="Batang" w:hAnsi="Times"/>
          <w:szCs w:val="24"/>
        </w:rPr>
      </w:pPr>
      <w:r w:rsidRPr="00952B88">
        <w:rPr>
          <w:rFonts w:ascii="Times" w:eastAsia="Batang" w:hAnsi="Times"/>
          <w:szCs w:val="24"/>
        </w:rPr>
        <w:t>Final summary in R1-2103925.</w:t>
      </w:r>
    </w:p>
    <w:p w14:paraId="0D6059FE"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16AF747C" w14:textId="7051CE32" w:rsidR="00FA5795" w:rsidRPr="00952B88" w:rsidRDefault="00FA5795" w:rsidP="009F6F48">
      <w:pPr>
        <w:pStyle w:val="BodyText"/>
        <w:overflowPunct/>
        <w:autoSpaceDE/>
        <w:autoSpaceDN/>
        <w:adjustRightInd/>
        <w:spacing w:after="0" w:line="276" w:lineRule="auto"/>
        <w:contextualSpacing/>
        <w:textAlignment w:val="auto"/>
        <w:rPr>
          <w:rFonts w:cs="Times"/>
          <w:b/>
          <w:bCs/>
          <w:sz w:val="22"/>
          <w:szCs w:val="20"/>
          <w:u w:val="single"/>
        </w:rPr>
      </w:pPr>
      <w:r w:rsidRPr="00952B88">
        <w:rPr>
          <w:rFonts w:cs="Times"/>
          <w:b/>
          <w:bCs/>
          <w:sz w:val="22"/>
          <w:szCs w:val="20"/>
          <w:u w:val="single"/>
        </w:rPr>
        <w:t>RAN1#104-e</w:t>
      </w:r>
    </w:p>
    <w:p w14:paraId="051EA34F" w14:textId="77777777" w:rsidR="00FA5795" w:rsidRDefault="00FA5795" w:rsidP="009F6F48">
      <w:pPr>
        <w:pStyle w:val="BodyText"/>
        <w:overflowPunct/>
        <w:autoSpaceDE/>
        <w:autoSpaceDN/>
        <w:adjustRightInd/>
        <w:spacing w:after="0" w:line="276" w:lineRule="auto"/>
        <w:contextualSpacing/>
        <w:textAlignment w:val="auto"/>
        <w:rPr>
          <w:rFonts w:cs="Times"/>
          <w:sz w:val="22"/>
          <w:szCs w:val="20"/>
        </w:rPr>
      </w:pPr>
    </w:p>
    <w:p w14:paraId="6B7224E7" w14:textId="77777777" w:rsidR="009F6F48" w:rsidRPr="006D66FC" w:rsidRDefault="009F6F48" w:rsidP="009F6F48">
      <w:pPr>
        <w:rPr>
          <w:u w:val="single"/>
        </w:rPr>
      </w:pPr>
      <w:r w:rsidRPr="006D66FC">
        <w:rPr>
          <w:u w:val="single"/>
        </w:rPr>
        <w:t>For RA-SDT</w:t>
      </w:r>
    </w:p>
    <w:p w14:paraId="14FE9474" w14:textId="77777777" w:rsidR="009F6F48" w:rsidRPr="006D66FC" w:rsidRDefault="009F6F48" w:rsidP="009F6F48">
      <w:pPr>
        <w:numPr>
          <w:ilvl w:val="0"/>
          <w:numId w:val="26"/>
        </w:numPr>
        <w:overflowPunct/>
        <w:snapToGrid w:val="0"/>
        <w:spacing w:after="60"/>
        <w:jc w:val="both"/>
        <w:textAlignment w:val="auto"/>
        <w:rPr>
          <w:rFonts w:ascii="Arial" w:hAnsi="Arial" w:cs="Arial"/>
        </w:rPr>
      </w:pPr>
      <w:r w:rsidRPr="006D66FC">
        <w:rPr>
          <w:rFonts w:ascii="Arial" w:hAnsi="Arial" w:cs="Arial"/>
        </w:rPr>
        <w:t>From RAN1 perspective, at least a separate SearchSpace that is different from the existing common SearchSpace should be supported for monitoring the PDCCH addressed to the C-RNTI after successful completion of the RACH procedure during RA-SDT</w:t>
      </w:r>
    </w:p>
    <w:p w14:paraId="0591D43A" w14:textId="77777777" w:rsidR="009F6F48" w:rsidRPr="006D66FC" w:rsidRDefault="009F6F48" w:rsidP="009F6F48">
      <w:pPr>
        <w:numPr>
          <w:ilvl w:val="1"/>
          <w:numId w:val="26"/>
        </w:numPr>
        <w:overflowPunct/>
        <w:snapToGrid w:val="0"/>
        <w:spacing w:after="60"/>
        <w:jc w:val="both"/>
        <w:textAlignment w:val="auto"/>
        <w:rPr>
          <w:rFonts w:ascii="Arial" w:hAnsi="Arial" w:cs="Arial"/>
        </w:rPr>
      </w:pPr>
      <w:r w:rsidRPr="006D66FC">
        <w:rPr>
          <w:rFonts w:ascii="Arial" w:hAnsi="Arial" w:cs="Arial"/>
        </w:rPr>
        <w:t>It is up to RAN2 decision if the separate SearchSpace is UE-specific or common to the UEs performing RA-SDT</w:t>
      </w:r>
    </w:p>
    <w:p w14:paraId="46875D62"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rPr>
        <w:t>If the separate SearchSpace is not configured, type-1 PDCCH CSS can be reused.</w:t>
      </w:r>
    </w:p>
    <w:p w14:paraId="521647CD" w14:textId="77777777" w:rsidR="009F6F48" w:rsidRPr="006D66FC" w:rsidRDefault="009F6F48" w:rsidP="009F6F48">
      <w:pPr>
        <w:numPr>
          <w:ilvl w:val="0"/>
          <w:numId w:val="26"/>
        </w:numPr>
        <w:overflowPunct/>
        <w:snapToGrid w:val="0"/>
        <w:spacing w:after="60"/>
        <w:jc w:val="both"/>
        <w:textAlignment w:val="auto"/>
      </w:pPr>
      <w:r w:rsidRPr="006D66FC">
        <w:rPr>
          <w:rFonts w:ascii="Arial" w:hAnsi="Arial" w:cs="Arial"/>
          <w:lang w:eastAsia="zh-CN"/>
        </w:rPr>
        <w:t>FFS UE-specific CORESET or common CORESET</w:t>
      </w:r>
    </w:p>
    <w:p w14:paraId="3BCD5D16" w14:textId="77777777" w:rsidR="009F6F48" w:rsidRDefault="009F6F48" w:rsidP="009F6F48">
      <w:pPr>
        <w:rPr>
          <w:u w:val="single"/>
        </w:rPr>
      </w:pPr>
    </w:p>
    <w:p w14:paraId="5078F81F" w14:textId="77777777" w:rsidR="009F6F48" w:rsidRPr="006D66FC" w:rsidRDefault="009F6F48" w:rsidP="009F6F48">
      <w:pPr>
        <w:rPr>
          <w:u w:val="single"/>
        </w:rPr>
      </w:pPr>
      <w:r w:rsidRPr="006D66FC">
        <w:rPr>
          <w:u w:val="single"/>
        </w:rPr>
        <w:t>For CG-SDT</w:t>
      </w:r>
    </w:p>
    <w:p w14:paraId="4BD3A304" w14:textId="77777777" w:rsidR="009F6F48" w:rsidRPr="006D66FC" w:rsidRDefault="009F6F48" w:rsidP="009F6F48">
      <w:pPr>
        <w:numPr>
          <w:ilvl w:val="0"/>
          <w:numId w:val="27"/>
        </w:numPr>
        <w:overflowPunct/>
        <w:snapToGrid w:val="0"/>
        <w:spacing w:after="60"/>
        <w:jc w:val="both"/>
        <w:textAlignment w:val="auto"/>
        <w:rPr>
          <w:rFonts w:ascii="Arial" w:hAnsi="Arial" w:cs="Arial"/>
        </w:rPr>
      </w:pPr>
      <w:r w:rsidRPr="006D66FC">
        <w:rPr>
          <w:rFonts w:ascii="Arial" w:hAnsi="Arial" w:cs="Arial"/>
        </w:rPr>
        <w:t>One or multiple SSBs can be associated with each CG configuration for CG-SDT.</w:t>
      </w:r>
    </w:p>
    <w:p w14:paraId="11219D8F" w14:textId="77777777" w:rsidR="009F6F48" w:rsidRPr="006D66FC" w:rsidRDefault="009F6F48" w:rsidP="009F6F48">
      <w:pPr>
        <w:numPr>
          <w:ilvl w:val="0"/>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From RAN1 perspective, the following options can be considered for the association between the SSBs and the CG resources (including transmission occasions and DMRS) per CG configuration for CG-SDT.</w:t>
      </w:r>
    </w:p>
    <w:p w14:paraId="51A626E7"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 xml:space="preserve">Opt. 1: Define the SSB-to-CG-PUSCH mapping rule </w:t>
      </w:r>
    </w:p>
    <w:p w14:paraId="6E2F4F58"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Reuse the SSB-to-RO mapping as the baseline</w:t>
      </w:r>
    </w:p>
    <w:p w14:paraId="2803E499"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FFS the potential RAN1 impact, e.g. mapping ratio and association period</w:t>
      </w:r>
    </w:p>
    <w:p w14:paraId="38657E5A"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Opt. 2: CG resources per CG configuration are associated with a set of SSB(s) by explicit signalling.</w:t>
      </w:r>
    </w:p>
    <w:p w14:paraId="28AD0216" w14:textId="77777777" w:rsidR="009F6F48" w:rsidRPr="006D66FC" w:rsidRDefault="009F6F48" w:rsidP="009F6F48">
      <w:pPr>
        <w:numPr>
          <w:ilvl w:val="2"/>
          <w:numId w:val="28"/>
        </w:numPr>
        <w:overflowPunct/>
        <w:snapToGrid w:val="0"/>
        <w:spacing w:after="60"/>
        <w:jc w:val="both"/>
        <w:textAlignment w:val="auto"/>
        <w:rPr>
          <w:rFonts w:ascii="Arial" w:hAnsi="Arial" w:cs="Arial"/>
          <w:lang w:eastAsia="zh-CN"/>
        </w:rPr>
      </w:pPr>
      <w:r w:rsidRPr="006D66FC">
        <w:rPr>
          <w:rFonts w:ascii="Arial" w:hAnsi="Arial" w:cs="Arial"/>
          <w:lang w:eastAsia="zh-CN"/>
        </w:rPr>
        <w:t>FFS the potential RAN1 impact</w:t>
      </w:r>
    </w:p>
    <w:p w14:paraId="1035D319" w14:textId="77777777" w:rsidR="009F6F48" w:rsidRPr="006D66FC" w:rsidRDefault="009F6F48" w:rsidP="009F6F48">
      <w:pPr>
        <w:numPr>
          <w:ilvl w:val="1"/>
          <w:numId w:val="28"/>
        </w:numPr>
        <w:overflowPunct/>
        <w:snapToGrid w:val="0"/>
        <w:spacing w:after="60"/>
        <w:jc w:val="both"/>
        <w:textAlignment w:val="auto"/>
        <w:rPr>
          <w:rFonts w:ascii="Arial" w:hAnsi="Arial" w:cs="Arial"/>
          <w:lang w:eastAsia="zh-CN"/>
        </w:rPr>
      </w:pPr>
      <w:r w:rsidRPr="006D66FC">
        <w:rPr>
          <w:rFonts w:ascii="Arial" w:hAnsi="Arial" w:cs="Arial"/>
          <w:lang w:eastAsia="zh-CN"/>
        </w:rPr>
        <w:t>Other solutions are not precluded</w:t>
      </w:r>
    </w:p>
    <w:p w14:paraId="7BF01608"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FFS whether repetition is supported for CG-SDT or not, and if supported how to handle the mapping between the SSBs and repetitions</w:t>
      </w:r>
    </w:p>
    <w:p w14:paraId="448A3AB3" w14:textId="77777777" w:rsidR="009F6F48" w:rsidRPr="006D66FC" w:rsidRDefault="009F6F48" w:rsidP="009F6F48">
      <w:pPr>
        <w:numPr>
          <w:ilvl w:val="0"/>
          <w:numId w:val="29"/>
        </w:numPr>
        <w:overflowPunct/>
        <w:snapToGrid w:val="0"/>
        <w:spacing w:after="60"/>
        <w:jc w:val="both"/>
        <w:textAlignment w:val="auto"/>
        <w:rPr>
          <w:rFonts w:ascii="Arial" w:hAnsi="Arial" w:cs="Arial"/>
          <w:color w:val="000000"/>
        </w:rPr>
      </w:pPr>
      <w:r w:rsidRPr="006D66FC">
        <w:rPr>
          <w:rFonts w:ascii="Arial" w:hAnsi="Arial" w:cs="Arial"/>
          <w:lang w:eastAsia="zh-CN"/>
        </w:rPr>
        <w:t>FFS TA validation and PUSCH validation for CG-SDT.</w:t>
      </w:r>
    </w:p>
    <w:p w14:paraId="73AA6859" w14:textId="77777777" w:rsidR="009F6F48" w:rsidRPr="009F6F48" w:rsidRDefault="009F6F48" w:rsidP="009F6F48">
      <w:pPr>
        <w:pStyle w:val="BodyText"/>
        <w:overflowPunct/>
        <w:autoSpaceDE/>
        <w:autoSpaceDN/>
        <w:adjustRightInd/>
        <w:spacing w:after="0" w:line="276" w:lineRule="auto"/>
        <w:contextualSpacing/>
        <w:textAlignment w:val="auto"/>
        <w:rPr>
          <w:rFonts w:cs="Times"/>
          <w:sz w:val="22"/>
          <w:szCs w:val="20"/>
          <w:lang w:val="en-GB"/>
        </w:rPr>
      </w:pPr>
    </w:p>
    <w:sectPr w:rsidR="009F6F48" w:rsidRPr="009F6F48"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D3AE" w14:textId="77777777" w:rsidR="00844B7D" w:rsidRDefault="00844B7D">
      <w:r>
        <w:separator/>
      </w:r>
    </w:p>
  </w:endnote>
  <w:endnote w:type="continuationSeparator" w:id="0">
    <w:p w14:paraId="69DFEBE2" w14:textId="77777777" w:rsidR="00844B7D" w:rsidRDefault="0084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E519" w14:textId="77777777" w:rsidR="00844B7D" w:rsidRDefault="00844B7D">
      <w:r>
        <w:separator/>
      </w:r>
    </w:p>
  </w:footnote>
  <w:footnote w:type="continuationSeparator" w:id="0">
    <w:p w14:paraId="08461A7D" w14:textId="77777777" w:rsidR="00844B7D" w:rsidRDefault="0084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AF6BEE"/>
    <w:multiLevelType w:val="hybridMultilevel"/>
    <w:tmpl w:val="27D69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A0446"/>
    <w:multiLevelType w:val="hybridMultilevel"/>
    <w:tmpl w:val="5488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D221B"/>
    <w:multiLevelType w:val="hybridMultilevel"/>
    <w:tmpl w:val="D336511E"/>
    <w:lvl w:ilvl="0" w:tplc="33DE57E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F0DC9"/>
    <w:multiLevelType w:val="hybridMultilevel"/>
    <w:tmpl w:val="0E24F79E"/>
    <w:lvl w:ilvl="0" w:tplc="3DB6FF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1042B"/>
    <w:multiLevelType w:val="hybridMultilevel"/>
    <w:tmpl w:val="CA3601DC"/>
    <w:lvl w:ilvl="0" w:tplc="CB2870E0">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2EF94922"/>
    <w:multiLevelType w:val="hybridMultilevel"/>
    <w:tmpl w:val="91EEFD90"/>
    <w:lvl w:ilvl="0" w:tplc="B412CF1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7611EB"/>
    <w:multiLevelType w:val="hybridMultilevel"/>
    <w:tmpl w:val="71762652"/>
    <w:lvl w:ilvl="0" w:tplc="27D44FB0">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6712D6"/>
    <w:multiLevelType w:val="hybridMultilevel"/>
    <w:tmpl w:val="C5B2C914"/>
    <w:lvl w:ilvl="0" w:tplc="D736B43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B429AF"/>
    <w:multiLevelType w:val="hybridMultilevel"/>
    <w:tmpl w:val="189A3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4C83"/>
    <w:multiLevelType w:val="hybridMultilevel"/>
    <w:tmpl w:val="0D8A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92074"/>
    <w:multiLevelType w:val="hybridMultilevel"/>
    <w:tmpl w:val="B18A88EC"/>
    <w:lvl w:ilvl="0" w:tplc="BDC85476">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795F16AB"/>
    <w:multiLevelType w:val="hybridMultilevel"/>
    <w:tmpl w:val="CD6C4F10"/>
    <w:lvl w:ilvl="0" w:tplc="90F4807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5"/>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35"/>
  </w:num>
  <w:num w:numId="7">
    <w:abstractNumId w:val="25"/>
    <w:lvlOverride w:ilvl="0">
      <w:startOverride w:val="1"/>
    </w:lvlOverride>
  </w:num>
  <w:num w:numId="8">
    <w:abstractNumId w:val="40"/>
  </w:num>
  <w:num w:numId="9">
    <w:abstractNumId w:val="16"/>
  </w:num>
  <w:num w:numId="10">
    <w:abstractNumId w:val="32"/>
  </w:num>
  <w:num w:numId="11">
    <w:abstractNumId w:val="23"/>
  </w:num>
  <w:num w:numId="12">
    <w:abstractNumId w:val="22"/>
  </w:num>
  <w:num w:numId="13">
    <w:abstractNumId w:val="37"/>
  </w:num>
  <w:num w:numId="14">
    <w:abstractNumId w:val="17"/>
  </w:num>
  <w:num w:numId="15">
    <w:abstractNumId w:val="41"/>
  </w:num>
  <w:num w:numId="16">
    <w:abstractNumId w:val="8"/>
  </w:num>
  <w:num w:numId="17">
    <w:abstractNumId w:val="38"/>
  </w:num>
  <w:num w:numId="18">
    <w:abstractNumId w:val="12"/>
  </w:num>
  <w:num w:numId="19">
    <w:abstractNumId w:val="24"/>
  </w:num>
  <w:num w:numId="20">
    <w:abstractNumId w:val="42"/>
  </w:num>
  <w:num w:numId="21">
    <w:abstractNumId w:val="44"/>
  </w:num>
  <w:num w:numId="22">
    <w:abstractNumId w:val="27"/>
  </w:num>
  <w:num w:numId="23">
    <w:abstractNumId w:val="31"/>
  </w:num>
  <w:num w:numId="24">
    <w:abstractNumId w:val="19"/>
  </w:num>
  <w:num w:numId="25">
    <w:abstractNumId w:val="14"/>
  </w:num>
  <w:num w:numId="26">
    <w:abstractNumId w:val="15"/>
  </w:num>
  <w:num w:numId="27">
    <w:abstractNumId w:val="21"/>
  </w:num>
  <w:num w:numId="28">
    <w:abstractNumId w:val="39"/>
  </w:num>
  <w:num w:numId="29">
    <w:abstractNumId w:val="34"/>
  </w:num>
  <w:num w:numId="30">
    <w:abstractNumId w:val="39"/>
  </w:num>
  <w:num w:numId="31">
    <w:abstractNumId w:val="34"/>
  </w:num>
  <w:num w:numId="32">
    <w:abstractNumId w:val="3"/>
  </w:num>
  <w:num w:numId="33">
    <w:abstractNumId w:val="36"/>
  </w:num>
  <w:num w:numId="34">
    <w:abstractNumId w:val="5"/>
  </w:num>
  <w:num w:numId="35">
    <w:abstractNumId w:val="13"/>
  </w:num>
  <w:num w:numId="36">
    <w:abstractNumId w:val="6"/>
  </w:num>
  <w:num w:numId="37">
    <w:abstractNumId w:val="33"/>
  </w:num>
  <w:num w:numId="38">
    <w:abstractNumId w:val="10"/>
  </w:num>
  <w:num w:numId="39">
    <w:abstractNumId w:val="9"/>
  </w:num>
  <w:num w:numId="40">
    <w:abstractNumId w:val="26"/>
  </w:num>
  <w:num w:numId="41">
    <w:abstractNumId w:val="43"/>
  </w:num>
  <w:num w:numId="42">
    <w:abstractNumId w:val="7"/>
  </w:num>
  <w:num w:numId="43">
    <w:abstractNumId w:val="1"/>
  </w:num>
  <w:num w:numId="44">
    <w:abstractNumId w:val="4"/>
  </w:num>
  <w:num w:numId="45">
    <w:abstractNumId w:val="20"/>
  </w:num>
  <w:num w:numId="46">
    <w:abstractNumId w:val="30"/>
  </w:num>
  <w:num w:numId="4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4479"/>
    <w:rsid w:val="00004564"/>
    <w:rsid w:val="00004885"/>
    <w:rsid w:val="00004CD0"/>
    <w:rsid w:val="00004CE6"/>
    <w:rsid w:val="00004D8C"/>
    <w:rsid w:val="00004DCB"/>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05B"/>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56E"/>
    <w:rsid w:val="0005468A"/>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5E4"/>
    <w:rsid w:val="00061985"/>
    <w:rsid w:val="00061E34"/>
    <w:rsid w:val="000621A9"/>
    <w:rsid w:val="0006263A"/>
    <w:rsid w:val="00062DE9"/>
    <w:rsid w:val="000632B7"/>
    <w:rsid w:val="00063435"/>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C63"/>
    <w:rsid w:val="00067FE2"/>
    <w:rsid w:val="00070378"/>
    <w:rsid w:val="00070CB1"/>
    <w:rsid w:val="00070E4C"/>
    <w:rsid w:val="00071034"/>
    <w:rsid w:val="0007118F"/>
    <w:rsid w:val="000715BD"/>
    <w:rsid w:val="000716FB"/>
    <w:rsid w:val="00071DF3"/>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2152"/>
    <w:rsid w:val="00082293"/>
    <w:rsid w:val="00082460"/>
    <w:rsid w:val="0008253A"/>
    <w:rsid w:val="000825BC"/>
    <w:rsid w:val="000826FF"/>
    <w:rsid w:val="00082A49"/>
    <w:rsid w:val="00082E0C"/>
    <w:rsid w:val="00082F4C"/>
    <w:rsid w:val="00083322"/>
    <w:rsid w:val="00083391"/>
    <w:rsid w:val="0008350B"/>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A0253"/>
    <w:rsid w:val="000A02DC"/>
    <w:rsid w:val="000A0CA1"/>
    <w:rsid w:val="000A0E99"/>
    <w:rsid w:val="000A1882"/>
    <w:rsid w:val="000A1996"/>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4A9"/>
    <w:rsid w:val="000C550B"/>
    <w:rsid w:val="000C5669"/>
    <w:rsid w:val="000C56AA"/>
    <w:rsid w:val="000C5759"/>
    <w:rsid w:val="000C5865"/>
    <w:rsid w:val="000C5872"/>
    <w:rsid w:val="000C59A5"/>
    <w:rsid w:val="000C5B11"/>
    <w:rsid w:val="000C5E7D"/>
    <w:rsid w:val="000C5F30"/>
    <w:rsid w:val="000C65B6"/>
    <w:rsid w:val="000C666E"/>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DDA"/>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147"/>
    <w:rsid w:val="001021B6"/>
    <w:rsid w:val="0010259F"/>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AF4"/>
    <w:rsid w:val="00111D19"/>
    <w:rsid w:val="00111D2C"/>
    <w:rsid w:val="0011234A"/>
    <w:rsid w:val="00112509"/>
    <w:rsid w:val="00112B35"/>
    <w:rsid w:val="00112B8F"/>
    <w:rsid w:val="00112D41"/>
    <w:rsid w:val="0011302C"/>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17E0B"/>
    <w:rsid w:val="0012022B"/>
    <w:rsid w:val="001202A3"/>
    <w:rsid w:val="001203DB"/>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8C9"/>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E2C"/>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0EEA"/>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4BE"/>
    <w:rsid w:val="0014371C"/>
    <w:rsid w:val="00143932"/>
    <w:rsid w:val="00143A5A"/>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F7A"/>
    <w:rsid w:val="00156260"/>
    <w:rsid w:val="0015674F"/>
    <w:rsid w:val="0015722D"/>
    <w:rsid w:val="00157966"/>
    <w:rsid w:val="0016019C"/>
    <w:rsid w:val="00160674"/>
    <w:rsid w:val="00160786"/>
    <w:rsid w:val="0016079B"/>
    <w:rsid w:val="001610DB"/>
    <w:rsid w:val="001618A3"/>
    <w:rsid w:val="00161CC6"/>
    <w:rsid w:val="0016207A"/>
    <w:rsid w:val="00162262"/>
    <w:rsid w:val="00162458"/>
    <w:rsid w:val="00162BD5"/>
    <w:rsid w:val="00162CF1"/>
    <w:rsid w:val="00162F82"/>
    <w:rsid w:val="001630E4"/>
    <w:rsid w:val="001636EC"/>
    <w:rsid w:val="001639BC"/>
    <w:rsid w:val="001639E6"/>
    <w:rsid w:val="00163AFC"/>
    <w:rsid w:val="001645AA"/>
    <w:rsid w:val="00164646"/>
    <w:rsid w:val="001647FA"/>
    <w:rsid w:val="001649D4"/>
    <w:rsid w:val="00164C22"/>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171"/>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78C"/>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241"/>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97E"/>
    <w:rsid w:val="001A3D5B"/>
    <w:rsid w:val="001A3F0F"/>
    <w:rsid w:val="001A3FA5"/>
    <w:rsid w:val="001A448D"/>
    <w:rsid w:val="001A49D2"/>
    <w:rsid w:val="001A4CED"/>
    <w:rsid w:val="001A4EDF"/>
    <w:rsid w:val="001A5120"/>
    <w:rsid w:val="001A5174"/>
    <w:rsid w:val="001A5A6D"/>
    <w:rsid w:val="001A5AF3"/>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FD9"/>
    <w:rsid w:val="001B446B"/>
    <w:rsid w:val="001B46A1"/>
    <w:rsid w:val="001B5332"/>
    <w:rsid w:val="001B53B3"/>
    <w:rsid w:val="001B54C9"/>
    <w:rsid w:val="001B54E9"/>
    <w:rsid w:val="001B5555"/>
    <w:rsid w:val="001B5F67"/>
    <w:rsid w:val="001B62E0"/>
    <w:rsid w:val="001B6488"/>
    <w:rsid w:val="001B6619"/>
    <w:rsid w:val="001B6A83"/>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5FDD"/>
    <w:rsid w:val="001C619C"/>
    <w:rsid w:val="001C6AA5"/>
    <w:rsid w:val="001C70EF"/>
    <w:rsid w:val="001C715F"/>
    <w:rsid w:val="001C7185"/>
    <w:rsid w:val="001C7AB6"/>
    <w:rsid w:val="001C7F47"/>
    <w:rsid w:val="001D006C"/>
    <w:rsid w:val="001D0578"/>
    <w:rsid w:val="001D0593"/>
    <w:rsid w:val="001D0817"/>
    <w:rsid w:val="001D0964"/>
    <w:rsid w:val="001D1258"/>
    <w:rsid w:val="001D1265"/>
    <w:rsid w:val="001D13B0"/>
    <w:rsid w:val="001D15D4"/>
    <w:rsid w:val="001D192F"/>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0AE"/>
    <w:rsid w:val="001D7260"/>
    <w:rsid w:val="001D7816"/>
    <w:rsid w:val="001D7B96"/>
    <w:rsid w:val="001D7EFB"/>
    <w:rsid w:val="001D7FE2"/>
    <w:rsid w:val="001E09C6"/>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D80"/>
    <w:rsid w:val="001F6E45"/>
    <w:rsid w:val="001F7259"/>
    <w:rsid w:val="001F7317"/>
    <w:rsid w:val="001F76DF"/>
    <w:rsid w:val="001F798D"/>
    <w:rsid w:val="001F7DD6"/>
    <w:rsid w:val="001F7FCF"/>
    <w:rsid w:val="0020001D"/>
    <w:rsid w:val="002000F2"/>
    <w:rsid w:val="002000FC"/>
    <w:rsid w:val="0020020C"/>
    <w:rsid w:val="002002BF"/>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5DE"/>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618"/>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12"/>
    <w:rsid w:val="0024103F"/>
    <w:rsid w:val="00241504"/>
    <w:rsid w:val="00241C7B"/>
    <w:rsid w:val="002420F9"/>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6AA"/>
    <w:rsid w:val="002528E9"/>
    <w:rsid w:val="00252CF2"/>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2BE"/>
    <w:rsid w:val="002654F4"/>
    <w:rsid w:val="0026554D"/>
    <w:rsid w:val="00265623"/>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621"/>
    <w:rsid w:val="00270C63"/>
    <w:rsid w:val="00270C98"/>
    <w:rsid w:val="00270E57"/>
    <w:rsid w:val="00270F4A"/>
    <w:rsid w:val="002710AB"/>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69D"/>
    <w:rsid w:val="002767B4"/>
    <w:rsid w:val="00276CDE"/>
    <w:rsid w:val="0027720E"/>
    <w:rsid w:val="0027740D"/>
    <w:rsid w:val="00277D7D"/>
    <w:rsid w:val="00277E66"/>
    <w:rsid w:val="002801E2"/>
    <w:rsid w:val="0028052D"/>
    <w:rsid w:val="0028053D"/>
    <w:rsid w:val="00280684"/>
    <w:rsid w:val="0028073A"/>
    <w:rsid w:val="00280851"/>
    <w:rsid w:val="00280960"/>
    <w:rsid w:val="002813DE"/>
    <w:rsid w:val="002815F9"/>
    <w:rsid w:val="002817B4"/>
    <w:rsid w:val="002825CE"/>
    <w:rsid w:val="002826AB"/>
    <w:rsid w:val="002826D0"/>
    <w:rsid w:val="00282917"/>
    <w:rsid w:val="002829E8"/>
    <w:rsid w:val="00283181"/>
    <w:rsid w:val="002835A5"/>
    <w:rsid w:val="002836DC"/>
    <w:rsid w:val="002837E0"/>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9EE"/>
    <w:rsid w:val="00295F1C"/>
    <w:rsid w:val="0029636B"/>
    <w:rsid w:val="002963EC"/>
    <w:rsid w:val="002965C5"/>
    <w:rsid w:val="00296856"/>
    <w:rsid w:val="00296A09"/>
    <w:rsid w:val="00296C50"/>
    <w:rsid w:val="00296FD8"/>
    <w:rsid w:val="002971CA"/>
    <w:rsid w:val="0029743A"/>
    <w:rsid w:val="00297499"/>
    <w:rsid w:val="002974AA"/>
    <w:rsid w:val="002976A3"/>
    <w:rsid w:val="00297A68"/>
    <w:rsid w:val="00297AE4"/>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B7CDE"/>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CAB"/>
    <w:rsid w:val="002C3D01"/>
    <w:rsid w:val="002C3E89"/>
    <w:rsid w:val="002C4110"/>
    <w:rsid w:val="002C44DB"/>
    <w:rsid w:val="002C47BD"/>
    <w:rsid w:val="002C4F56"/>
    <w:rsid w:val="002C4FAC"/>
    <w:rsid w:val="002C545A"/>
    <w:rsid w:val="002C5533"/>
    <w:rsid w:val="002C5620"/>
    <w:rsid w:val="002C57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2A6"/>
    <w:rsid w:val="002D2B4E"/>
    <w:rsid w:val="002D2E32"/>
    <w:rsid w:val="002D35C8"/>
    <w:rsid w:val="002D3923"/>
    <w:rsid w:val="002D3968"/>
    <w:rsid w:val="002D425A"/>
    <w:rsid w:val="002D4322"/>
    <w:rsid w:val="002D46DB"/>
    <w:rsid w:val="002D4A54"/>
    <w:rsid w:val="002D4C64"/>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3AF"/>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6A4"/>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493"/>
    <w:rsid w:val="0030361B"/>
    <w:rsid w:val="00303634"/>
    <w:rsid w:val="00303743"/>
    <w:rsid w:val="00303FB7"/>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841"/>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6C4D"/>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56F"/>
    <w:rsid w:val="0033265F"/>
    <w:rsid w:val="00332962"/>
    <w:rsid w:val="00332A33"/>
    <w:rsid w:val="00332B7D"/>
    <w:rsid w:val="0033392F"/>
    <w:rsid w:val="0033402D"/>
    <w:rsid w:val="00334591"/>
    <w:rsid w:val="003349CA"/>
    <w:rsid w:val="00334CC1"/>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E16"/>
    <w:rsid w:val="00340E58"/>
    <w:rsid w:val="00341087"/>
    <w:rsid w:val="0034119A"/>
    <w:rsid w:val="003419F5"/>
    <w:rsid w:val="00341CDF"/>
    <w:rsid w:val="0034243C"/>
    <w:rsid w:val="0034246D"/>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A57"/>
    <w:rsid w:val="00344C47"/>
    <w:rsid w:val="0034511B"/>
    <w:rsid w:val="00345134"/>
    <w:rsid w:val="00345355"/>
    <w:rsid w:val="00345678"/>
    <w:rsid w:val="003464EB"/>
    <w:rsid w:val="00346821"/>
    <w:rsid w:val="00346EA4"/>
    <w:rsid w:val="003471DC"/>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3CC"/>
    <w:rsid w:val="0036262C"/>
    <w:rsid w:val="00362691"/>
    <w:rsid w:val="00362A90"/>
    <w:rsid w:val="00362C5A"/>
    <w:rsid w:val="00363256"/>
    <w:rsid w:val="00363D68"/>
    <w:rsid w:val="00363E00"/>
    <w:rsid w:val="00363E9E"/>
    <w:rsid w:val="00364228"/>
    <w:rsid w:val="00364591"/>
    <w:rsid w:val="0036478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50F"/>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2F18"/>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5F78"/>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951"/>
    <w:rsid w:val="0039598F"/>
    <w:rsid w:val="003959BD"/>
    <w:rsid w:val="00395F98"/>
    <w:rsid w:val="003960D5"/>
    <w:rsid w:val="0039610F"/>
    <w:rsid w:val="0039665F"/>
    <w:rsid w:val="00396850"/>
    <w:rsid w:val="00396BDA"/>
    <w:rsid w:val="00397424"/>
    <w:rsid w:val="00397702"/>
    <w:rsid w:val="003978B8"/>
    <w:rsid w:val="003978BD"/>
    <w:rsid w:val="00397A38"/>
    <w:rsid w:val="00397B96"/>
    <w:rsid w:val="00397C89"/>
    <w:rsid w:val="00397E0D"/>
    <w:rsid w:val="003A0311"/>
    <w:rsid w:val="003A0430"/>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8F4"/>
    <w:rsid w:val="003A6BC9"/>
    <w:rsid w:val="003A723C"/>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C5"/>
    <w:rsid w:val="003B547E"/>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CDB"/>
    <w:rsid w:val="003E51A0"/>
    <w:rsid w:val="003E52EB"/>
    <w:rsid w:val="003E5824"/>
    <w:rsid w:val="003E5A8A"/>
    <w:rsid w:val="003E5D75"/>
    <w:rsid w:val="003E6592"/>
    <w:rsid w:val="003E6A2E"/>
    <w:rsid w:val="003E703E"/>
    <w:rsid w:val="003E73BC"/>
    <w:rsid w:val="003E74ED"/>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79"/>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66C"/>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DA2"/>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745"/>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772"/>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1DC7"/>
    <w:rsid w:val="004527C0"/>
    <w:rsid w:val="00453871"/>
    <w:rsid w:val="00453907"/>
    <w:rsid w:val="00453B31"/>
    <w:rsid w:val="00453D65"/>
    <w:rsid w:val="00453DEF"/>
    <w:rsid w:val="004543E4"/>
    <w:rsid w:val="004548E5"/>
    <w:rsid w:val="00454F08"/>
    <w:rsid w:val="0045502E"/>
    <w:rsid w:val="00455105"/>
    <w:rsid w:val="004553ED"/>
    <w:rsid w:val="00455889"/>
    <w:rsid w:val="00455C09"/>
    <w:rsid w:val="00455D5C"/>
    <w:rsid w:val="00456114"/>
    <w:rsid w:val="00456189"/>
    <w:rsid w:val="00456971"/>
    <w:rsid w:val="004569CC"/>
    <w:rsid w:val="00456A78"/>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1C"/>
    <w:rsid w:val="00464EE0"/>
    <w:rsid w:val="00465461"/>
    <w:rsid w:val="00465467"/>
    <w:rsid w:val="00465573"/>
    <w:rsid w:val="004656D2"/>
    <w:rsid w:val="004658C3"/>
    <w:rsid w:val="00465AAF"/>
    <w:rsid w:val="00465EB3"/>
    <w:rsid w:val="0046645E"/>
    <w:rsid w:val="0046681F"/>
    <w:rsid w:val="00466C21"/>
    <w:rsid w:val="00467623"/>
    <w:rsid w:val="00467716"/>
    <w:rsid w:val="00467838"/>
    <w:rsid w:val="00467F5F"/>
    <w:rsid w:val="0047041E"/>
    <w:rsid w:val="00470750"/>
    <w:rsid w:val="00470893"/>
    <w:rsid w:val="00470D4B"/>
    <w:rsid w:val="00470E35"/>
    <w:rsid w:val="00470FE9"/>
    <w:rsid w:val="004715F2"/>
    <w:rsid w:val="0047166D"/>
    <w:rsid w:val="00471856"/>
    <w:rsid w:val="00471978"/>
    <w:rsid w:val="004719A1"/>
    <w:rsid w:val="00471DB0"/>
    <w:rsid w:val="00471DB8"/>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36F"/>
    <w:rsid w:val="00483D11"/>
    <w:rsid w:val="00483D20"/>
    <w:rsid w:val="0048406D"/>
    <w:rsid w:val="0048410E"/>
    <w:rsid w:val="004844C7"/>
    <w:rsid w:val="00484C46"/>
    <w:rsid w:val="004851B0"/>
    <w:rsid w:val="004853DD"/>
    <w:rsid w:val="00485533"/>
    <w:rsid w:val="00485969"/>
    <w:rsid w:val="0048598C"/>
    <w:rsid w:val="00485E8A"/>
    <w:rsid w:val="0048620B"/>
    <w:rsid w:val="004862DE"/>
    <w:rsid w:val="00486CF2"/>
    <w:rsid w:val="00486EC5"/>
    <w:rsid w:val="00487056"/>
    <w:rsid w:val="00487442"/>
    <w:rsid w:val="004877EB"/>
    <w:rsid w:val="00487BB8"/>
    <w:rsid w:val="00487F28"/>
    <w:rsid w:val="00490315"/>
    <w:rsid w:val="00490649"/>
    <w:rsid w:val="0049093B"/>
    <w:rsid w:val="00490E94"/>
    <w:rsid w:val="00490EE3"/>
    <w:rsid w:val="0049143D"/>
    <w:rsid w:val="00491728"/>
    <w:rsid w:val="004918A0"/>
    <w:rsid w:val="004924E5"/>
    <w:rsid w:val="00492619"/>
    <w:rsid w:val="00492A10"/>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283"/>
    <w:rsid w:val="004B33B8"/>
    <w:rsid w:val="004B3A42"/>
    <w:rsid w:val="004B3C3F"/>
    <w:rsid w:val="004B4433"/>
    <w:rsid w:val="004B45A2"/>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FE3"/>
    <w:rsid w:val="004C2371"/>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1E"/>
    <w:rsid w:val="004D4BEA"/>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CBE"/>
    <w:rsid w:val="004F1D32"/>
    <w:rsid w:val="004F20E9"/>
    <w:rsid w:val="004F2826"/>
    <w:rsid w:val="004F2AA6"/>
    <w:rsid w:val="004F2B9C"/>
    <w:rsid w:val="004F2CCE"/>
    <w:rsid w:val="004F2D1C"/>
    <w:rsid w:val="004F2D47"/>
    <w:rsid w:val="004F30B9"/>
    <w:rsid w:val="004F33A9"/>
    <w:rsid w:val="004F359A"/>
    <w:rsid w:val="004F361E"/>
    <w:rsid w:val="004F3CEA"/>
    <w:rsid w:val="004F3DD1"/>
    <w:rsid w:val="004F4000"/>
    <w:rsid w:val="004F40F1"/>
    <w:rsid w:val="004F46D8"/>
    <w:rsid w:val="004F4760"/>
    <w:rsid w:val="004F4883"/>
    <w:rsid w:val="004F4DAC"/>
    <w:rsid w:val="004F4E25"/>
    <w:rsid w:val="004F4E53"/>
    <w:rsid w:val="004F4EBA"/>
    <w:rsid w:val="004F55A2"/>
    <w:rsid w:val="004F58AB"/>
    <w:rsid w:val="004F58C1"/>
    <w:rsid w:val="004F609B"/>
    <w:rsid w:val="004F66FA"/>
    <w:rsid w:val="004F67A9"/>
    <w:rsid w:val="004F6AFE"/>
    <w:rsid w:val="004F6F20"/>
    <w:rsid w:val="004F7373"/>
    <w:rsid w:val="004F73A5"/>
    <w:rsid w:val="004F76A6"/>
    <w:rsid w:val="004F78C3"/>
    <w:rsid w:val="004F7C51"/>
    <w:rsid w:val="004F7CE6"/>
    <w:rsid w:val="004F7ED1"/>
    <w:rsid w:val="004F7F1A"/>
    <w:rsid w:val="0050031C"/>
    <w:rsid w:val="005004F7"/>
    <w:rsid w:val="00500798"/>
    <w:rsid w:val="005007E7"/>
    <w:rsid w:val="005009E6"/>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38E"/>
    <w:rsid w:val="005227EA"/>
    <w:rsid w:val="00523366"/>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3AED"/>
    <w:rsid w:val="0053405D"/>
    <w:rsid w:val="00534091"/>
    <w:rsid w:val="005341D9"/>
    <w:rsid w:val="0053444C"/>
    <w:rsid w:val="00534451"/>
    <w:rsid w:val="00534569"/>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32D"/>
    <w:rsid w:val="0053772E"/>
    <w:rsid w:val="00537982"/>
    <w:rsid w:val="00537BE9"/>
    <w:rsid w:val="00537E22"/>
    <w:rsid w:val="00540147"/>
    <w:rsid w:val="005402B2"/>
    <w:rsid w:val="005405D3"/>
    <w:rsid w:val="00540EB6"/>
    <w:rsid w:val="00541096"/>
    <w:rsid w:val="005411E7"/>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17"/>
    <w:rsid w:val="00555921"/>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B5B"/>
    <w:rsid w:val="005650BF"/>
    <w:rsid w:val="00565545"/>
    <w:rsid w:val="00565679"/>
    <w:rsid w:val="0056587E"/>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58E"/>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5C97"/>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035"/>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08"/>
    <w:rsid w:val="005C11DA"/>
    <w:rsid w:val="005C1225"/>
    <w:rsid w:val="005C132F"/>
    <w:rsid w:val="005C1477"/>
    <w:rsid w:val="005C1752"/>
    <w:rsid w:val="005C1894"/>
    <w:rsid w:val="005C2144"/>
    <w:rsid w:val="005C24B8"/>
    <w:rsid w:val="005C2C0F"/>
    <w:rsid w:val="005C3016"/>
    <w:rsid w:val="005C376D"/>
    <w:rsid w:val="005C3A65"/>
    <w:rsid w:val="005C3C6D"/>
    <w:rsid w:val="005C3CDF"/>
    <w:rsid w:val="005C3E1D"/>
    <w:rsid w:val="005C4A73"/>
    <w:rsid w:val="005C4B4D"/>
    <w:rsid w:val="005C4DE3"/>
    <w:rsid w:val="005C5379"/>
    <w:rsid w:val="005C56B4"/>
    <w:rsid w:val="005C5757"/>
    <w:rsid w:val="005C5849"/>
    <w:rsid w:val="005C63F0"/>
    <w:rsid w:val="005C686B"/>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0AC"/>
    <w:rsid w:val="005F660A"/>
    <w:rsid w:val="005F6697"/>
    <w:rsid w:val="005F6C02"/>
    <w:rsid w:val="005F6C51"/>
    <w:rsid w:val="005F6F9C"/>
    <w:rsid w:val="005F6FFC"/>
    <w:rsid w:val="005F73FF"/>
    <w:rsid w:val="005F7504"/>
    <w:rsid w:val="005F7F11"/>
    <w:rsid w:val="006004DE"/>
    <w:rsid w:val="006008BE"/>
    <w:rsid w:val="00601072"/>
    <w:rsid w:val="00601309"/>
    <w:rsid w:val="0060144E"/>
    <w:rsid w:val="00601754"/>
    <w:rsid w:val="00601C16"/>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B9C"/>
    <w:rsid w:val="00627BA3"/>
    <w:rsid w:val="00627C39"/>
    <w:rsid w:val="00627E44"/>
    <w:rsid w:val="00627F78"/>
    <w:rsid w:val="0063004F"/>
    <w:rsid w:val="006300D7"/>
    <w:rsid w:val="0063049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35D"/>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009"/>
    <w:rsid w:val="006372C0"/>
    <w:rsid w:val="006373C7"/>
    <w:rsid w:val="006374F0"/>
    <w:rsid w:val="006376E2"/>
    <w:rsid w:val="0063791C"/>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67C"/>
    <w:rsid w:val="00683842"/>
    <w:rsid w:val="00683A63"/>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5FE"/>
    <w:rsid w:val="006979DC"/>
    <w:rsid w:val="006979EF"/>
    <w:rsid w:val="00697C2C"/>
    <w:rsid w:val="006A01FA"/>
    <w:rsid w:val="006A05EF"/>
    <w:rsid w:val="006A0942"/>
    <w:rsid w:val="006A0C59"/>
    <w:rsid w:val="006A0F0C"/>
    <w:rsid w:val="006A104A"/>
    <w:rsid w:val="006A18CF"/>
    <w:rsid w:val="006A18DD"/>
    <w:rsid w:val="006A1B7F"/>
    <w:rsid w:val="006A1C20"/>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7AF"/>
    <w:rsid w:val="006B3604"/>
    <w:rsid w:val="006B393F"/>
    <w:rsid w:val="006B3D55"/>
    <w:rsid w:val="006B3D66"/>
    <w:rsid w:val="006B3E55"/>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DA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234"/>
    <w:rsid w:val="006D7598"/>
    <w:rsid w:val="006D7875"/>
    <w:rsid w:val="006D7B93"/>
    <w:rsid w:val="006D7DAD"/>
    <w:rsid w:val="006E02A1"/>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C0E"/>
    <w:rsid w:val="006F1D86"/>
    <w:rsid w:val="006F22CB"/>
    <w:rsid w:val="006F291E"/>
    <w:rsid w:val="006F2E21"/>
    <w:rsid w:val="006F3052"/>
    <w:rsid w:val="006F314D"/>
    <w:rsid w:val="006F3738"/>
    <w:rsid w:val="006F38A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504"/>
    <w:rsid w:val="007246BF"/>
    <w:rsid w:val="00725068"/>
    <w:rsid w:val="007250C0"/>
    <w:rsid w:val="007251AC"/>
    <w:rsid w:val="007254A9"/>
    <w:rsid w:val="007254B1"/>
    <w:rsid w:val="00725605"/>
    <w:rsid w:val="0072560E"/>
    <w:rsid w:val="00725620"/>
    <w:rsid w:val="007259B8"/>
    <w:rsid w:val="00725CB6"/>
    <w:rsid w:val="00725D75"/>
    <w:rsid w:val="0072602E"/>
    <w:rsid w:val="00726281"/>
    <w:rsid w:val="0072665F"/>
    <w:rsid w:val="00726661"/>
    <w:rsid w:val="0072698B"/>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FB"/>
    <w:rsid w:val="00742E47"/>
    <w:rsid w:val="00742EC0"/>
    <w:rsid w:val="00743257"/>
    <w:rsid w:val="0074336F"/>
    <w:rsid w:val="00743757"/>
    <w:rsid w:val="00743867"/>
    <w:rsid w:val="00743F8C"/>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34"/>
    <w:rsid w:val="007517D1"/>
    <w:rsid w:val="007518E8"/>
    <w:rsid w:val="00751D39"/>
    <w:rsid w:val="00751F76"/>
    <w:rsid w:val="007523C1"/>
    <w:rsid w:val="00752497"/>
    <w:rsid w:val="00752839"/>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6B2"/>
    <w:rsid w:val="007718CC"/>
    <w:rsid w:val="007719DC"/>
    <w:rsid w:val="00771A9F"/>
    <w:rsid w:val="007721AD"/>
    <w:rsid w:val="00772C97"/>
    <w:rsid w:val="00772D15"/>
    <w:rsid w:val="00772DC3"/>
    <w:rsid w:val="007733C4"/>
    <w:rsid w:val="00773889"/>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109"/>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FD1"/>
    <w:rsid w:val="00781089"/>
    <w:rsid w:val="0078109E"/>
    <w:rsid w:val="0078146E"/>
    <w:rsid w:val="00781633"/>
    <w:rsid w:val="0078165E"/>
    <w:rsid w:val="007816FD"/>
    <w:rsid w:val="00781A49"/>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0EE9"/>
    <w:rsid w:val="007916D2"/>
    <w:rsid w:val="00791ADE"/>
    <w:rsid w:val="00791BEA"/>
    <w:rsid w:val="00791FB5"/>
    <w:rsid w:val="00792006"/>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5BDA"/>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171"/>
    <w:rsid w:val="007B448A"/>
    <w:rsid w:val="007B44DC"/>
    <w:rsid w:val="007B4533"/>
    <w:rsid w:val="007B4543"/>
    <w:rsid w:val="007B484D"/>
    <w:rsid w:val="007B4937"/>
    <w:rsid w:val="007B549E"/>
    <w:rsid w:val="007B5A66"/>
    <w:rsid w:val="007B5E5F"/>
    <w:rsid w:val="007B614B"/>
    <w:rsid w:val="007B630D"/>
    <w:rsid w:val="007B6919"/>
    <w:rsid w:val="007B697F"/>
    <w:rsid w:val="007B6F99"/>
    <w:rsid w:val="007B718E"/>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508D"/>
    <w:rsid w:val="007C515A"/>
    <w:rsid w:val="007C52AD"/>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1FB"/>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B7D"/>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2F"/>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696"/>
    <w:rsid w:val="00865D4C"/>
    <w:rsid w:val="00865DE1"/>
    <w:rsid w:val="00866097"/>
    <w:rsid w:val="00866453"/>
    <w:rsid w:val="00866781"/>
    <w:rsid w:val="00866AD8"/>
    <w:rsid w:val="00867253"/>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B"/>
    <w:rsid w:val="00893B72"/>
    <w:rsid w:val="00894304"/>
    <w:rsid w:val="008947A4"/>
    <w:rsid w:val="0089487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3F6E"/>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113"/>
    <w:rsid w:val="008B7394"/>
    <w:rsid w:val="008B766A"/>
    <w:rsid w:val="008B7919"/>
    <w:rsid w:val="008B7A0E"/>
    <w:rsid w:val="008C04BA"/>
    <w:rsid w:val="008C0FB9"/>
    <w:rsid w:val="008C10A2"/>
    <w:rsid w:val="008C1130"/>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A30"/>
    <w:rsid w:val="008C5B10"/>
    <w:rsid w:val="008C5FB5"/>
    <w:rsid w:val="008C6C7A"/>
    <w:rsid w:val="008C6F4F"/>
    <w:rsid w:val="008C70B1"/>
    <w:rsid w:val="008C731E"/>
    <w:rsid w:val="008C738D"/>
    <w:rsid w:val="008C74CC"/>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0EBF"/>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A06"/>
    <w:rsid w:val="00905E2D"/>
    <w:rsid w:val="00906100"/>
    <w:rsid w:val="009067B8"/>
    <w:rsid w:val="00906CA1"/>
    <w:rsid w:val="00906D52"/>
    <w:rsid w:val="00906EED"/>
    <w:rsid w:val="00907071"/>
    <w:rsid w:val="0090712B"/>
    <w:rsid w:val="0090715C"/>
    <w:rsid w:val="00910178"/>
    <w:rsid w:val="009108A7"/>
    <w:rsid w:val="00910A24"/>
    <w:rsid w:val="00910BA7"/>
    <w:rsid w:val="00910ED6"/>
    <w:rsid w:val="0091132D"/>
    <w:rsid w:val="00911827"/>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3DAC"/>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E8"/>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47B14"/>
    <w:rsid w:val="009509D7"/>
    <w:rsid w:val="00950B09"/>
    <w:rsid w:val="00950DD1"/>
    <w:rsid w:val="00950E0E"/>
    <w:rsid w:val="00951417"/>
    <w:rsid w:val="0095154C"/>
    <w:rsid w:val="009517A9"/>
    <w:rsid w:val="00951823"/>
    <w:rsid w:val="009518B4"/>
    <w:rsid w:val="009518BD"/>
    <w:rsid w:val="00951995"/>
    <w:rsid w:val="00951C7E"/>
    <w:rsid w:val="00951CF6"/>
    <w:rsid w:val="00952216"/>
    <w:rsid w:val="0095225E"/>
    <w:rsid w:val="00952ACA"/>
    <w:rsid w:val="00952B88"/>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5E2"/>
    <w:rsid w:val="009557DF"/>
    <w:rsid w:val="00955A2E"/>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A50"/>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AE8"/>
    <w:rsid w:val="00973F29"/>
    <w:rsid w:val="00974013"/>
    <w:rsid w:val="0097407B"/>
    <w:rsid w:val="00974182"/>
    <w:rsid w:val="009744FF"/>
    <w:rsid w:val="00974520"/>
    <w:rsid w:val="0097496D"/>
    <w:rsid w:val="00974B0E"/>
    <w:rsid w:val="00974DCF"/>
    <w:rsid w:val="00974EBD"/>
    <w:rsid w:val="009750E6"/>
    <w:rsid w:val="009751BA"/>
    <w:rsid w:val="00975593"/>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565"/>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116"/>
    <w:rsid w:val="009A0212"/>
    <w:rsid w:val="009A031F"/>
    <w:rsid w:val="009A041C"/>
    <w:rsid w:val="009A04D7"/>
    <w:rsid w:val="009A0886"/>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7C0"/>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EBA"/>
    <w:rsid w:val="009F6F48"/>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8B"/>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BC8"/>
    <w:rsid w:val="00A33C3D"/>
    <w:rsid w:val="00A33C9E"/>
    <w:rsid w:val="00A34155"/>
    <w:rsid w:val="00A34D39"/>
    <w:rsid w:val="00A35735"/>
    <w:rsid w:val="00A3583A"/>
    <w:rsid w:val="00A35A0B"/>
    <w:rsid w:val="00A35CBB"/>
    <w:rsid w:val="00A35FFD"/>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2DCB"/>
    <w:rsid w:val="00A43383"/>
    <w:rsid w:val="00A4339C"/>
    <w:rsid w:val="00A434BB"/>
    <w:rsid w:val="00A43C82"/>
    <w:rsid w:val="00A43EB7"/>
    <w:rsid w:val="00A4449D"/>
    <w:rsid w:val="00A44530"/>
    <w:rsid w:val="00A44882"/>
    <w:rsid w:val="00A44AA5"/>
    <w:rsid w:val="00A44E28"/>
    <w:rsid w:val="00A454AC"/>
    <w:rsid w:val="00A4570E"/>
    <w:rsid w:val="00A459CC"/>
    <w:rsid w:val="00A45A3B"/>
    <w:rsid w:val="00A46395"/>
    <w:rsid w:val="00A46A08"/>
    <w:rsid w:val="00A46DBD"/>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409"/>
    <w:rsid w:val="00A67629"/>
    <w:rsid w:val="00A677A0"/>
    <w:rsid w:val="00A677C1"/>
    <w:rsid w:val="00A677E7"/>
    <w:rsid w:val="00A67909"/>
    <w:rsid w:val="00A67A8E"/>
    <w:rsid w:val="00A67AC6"/>
    <w:rsid w:val="00A702C2"/>
    <w:rsid w:val="00A704B5"/>
    <w:rsid w:val="00A70A02"/>
    <w:rsid w:val="00A70A35"/>
    <w:rsid w:val="00A70B80"/>
    <w:rsid w:val="00A70BC4"/>
    <w:rsid w:val="00A70C50"/>
    <w:rsid w:val="00A7141F"/>
    <w:rsid w:val="00A71705"/>
    <w:rsid w:val="00A71D6B"/>
    <w:rsid w:val="00A71E43"/>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905DE"/>
    <w:rsid w:val="00A905F1"/>
    <w:rsid w:val="00A90E27"/>
    <w:rsid w:val="00A91194"/>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144"/>
    <w:rsid w:val="00AA53BC"/>
    <w:rsid w:val="00AA5584"/>
    <w:rsid w:val="00AA5903"/>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18F"/>
    <w:rsid w:val="00AB42FF"/>
    <w:rsid w:val="00AB4B78"/>
    <w:rsid w:val="00AB513E"/>
    <w:rsid w:val="00AB53BA"/>
    <w:rsid w:val="00AB53F0"/>
    <w:rsid w:val="00AB57AD"/>
    <w:rsid w:val="00AB583A"/>
    <w:rsid w:val="00AB5BC7"/>
    <w:rsid w:val="00AB642C"/>
    <w:rsid w:val="00AB64B8"/>
    <w:rsid w:val="00AB66FE"/>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75"/>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85"/>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F0801"/>
    <w:rsid w:val="00AF1414"/>
    <w:rsid w:val="00AF161B"/>
    <w:rsid w:val="00AF17B2"/>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ABF"/>
    <w:rsid w:val="00B10BD1"/>
    <w:rsid w:val="00B111BF"/>
    <w:rsid w:val="00B114C4"/>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1DB"/>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30D3"/>
    <w:rsid w:val="00B432D4"/>
    <w:rsid w:val="00B4343D"/>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C4"/>
    <w:rsid w:val="00B63870"/>
    <w:rsid w:val="00B640AB"/>
    <w:rsid w:val="00B64398"/>
    <w:rsid w:val="00B64484"/>
    <w:rsid w:val="00B645EE"/>
    <w:rsid w:val="00B645F8"/>
    <w:rsid w:val="00B646A6"/>
    <w:rsid w:val="00B64995"/>
    <w:rsid w:val="00B651E3"/>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B35"/>
    <w:rsid w:val="00B70EDB"/>
    <w:rsid w:val="00B713B9"/>
    <w:rsid w:val="00B71524"/>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94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7B0"/>
    <w:rsid w:val="00B91963"/>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8E8"/>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414"/>
    <w:rsid w:val="00BA17C4"/>
    <w:rsid w:val="00BA1C20"/>
    <w:rsid w:val="00BA1E0C"/>
    <w:rsid w:val="00BA270E"/>
    <w:rsid w:val="00BA2729"/>
    <w:rsid w:val="00BA283C"/>
    <w:rsid w:val="00BA2AEB"/>
    <w:rsid w:val="00BA2DED"/>
    <w:rsid w:val="00BA2E29"/>
    <w:rsid w:val="00BA2E62"/>
    <w:rsid w:val="00BA30FF"/>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4E59"/>
    <w:rsid w:val="00BD5A26"/>
    <w:rsid w:val="00BD5CD4"/>
    <w:rsid w:val="00BD5D1A"/>
    <w:rsid w:val="00BD5FA4"/>
    <w:rsid w:val="00BD6509"/>
    <w:rsid w:val="00BD689C"/>
    <w:rsid w:val="00BD6A22"/>
    <w:rsid w:val="00BD6D88"/>
    <w:rsid w:val="00BD72C8"/>
    <w:rsid w:val="00BD7A82"/>
    <w:rsid w:val="00BD7F9E"/>
    <w:rsid w:val="00BE051C"/>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2DB5"/>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94"/>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0D80"/>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509"/>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D77"/>
    <w:rsid w:val="00C24EE5"/>
    <w:rsid w:val="00C24F74"/>
    <w:rsid w:val="00C250CF"/>
    <w:rsid w:val="00C25198"/>
    <w:rsid w:val="00C2544D"/>
    <w:rsid w:val="00C254EB"/>
    <w:rsid w:val="00C255D5"/>
    <w:rsid w:val="00C25723"/>
    <w:rsid w:val="00C2583B"/>
    <w:rsid w:val="00C25D3A"/>
    <w:rsid w:val="00C25FD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ADC"/>
    <w:rsid w:val="00C55CE2"/>
    <w:rsid w:val="00C5638E"/>
    <w:rsid w:val="00C56918"/>
    <w:rsid w:val="00C569CA"/>
    <w:rsid w:val="00C56C48"/>
    <w:rsid w:val="00C5707E"/>
    <w:rsid w:val="00C57A4B"/>
    <w:rsid w:val="00C57CC6"/>
    <w:rsid w:val="00C57E7D"/>
    <w:rsid w:val="00C60002"/>
    <w:rsid w:val="00C601EB"/>
    <w:rsid w:val="00C6033C"/>
    <w:rsid w:val="00C60EC1"/>
    <w:rsid w:val="00C60FFC"/>
    <w:rsid w:val="00C6119C"/>
    <w:rsid w:val="00C613A2"/>
    <w:rsid w:val="00C6167C"/>
    <w:rsid w:val="00C61B02"/>
    <w:rsid w:val="00C61FD6"/>
    <w:rsid w:val="00C62027"/>
    <w:rsid w:val="00C62163"/>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C0C"/>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A7E46"/>
    <w:rsid w:val="00CB047F"/>
    <w:rsid w:val="00CB055C"/>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1E"/>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8A0"/>
    <w:rsid w:val="00CD1B57"/>
    <w:rsid w:val="00CD1E74"/>
    <w:rsid w:val="00CD223B"/>
    <w:rsid w:val="00CD2585"/>
    <w:rsid w:val="00CD25A6"/>
    <w:rsid w:val="00CD283A"/>
    <w:rsid w:val="00CD2962"/>
    <w:rsid w:val="00CD2B7C"/>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7EF"/>
    <w:rsid w:val="00CE212D"/>
    <w:rsid w:val="00CE220C"/>
    <w:rsid w:val="00CE253D"/>
    <w:rsid w:val="00CE2561"/>
    <w:rsid w:val="00CE2AFE"/>
    <w:rsid w:val="00CE2DCF"/>
    <w:rsid w:val="00CE2EC2"/>
    <w:rsid w:val="00CE3257"/>
    <w:rsid w:val="00CE367C"/>
    <w:rsid w:val="00CE399D"/>
    <w:rsid w:val="00CE3C86"/>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071"/>
    <w:rsid w:val="00CE7565"/>
    <w:rsid w:val="00CE76BD"/>
    <w:rsid w:val="00CE79BC"/>
    <w:rsid w:val="00CE7A83"/>
    <w:rsid w:val="00CE7EC0"/>
    <w:rsid w:val="00CF0119"/>
    <w:rsid w:val="00CF02AC"/>
    <w:rsid w:val="00CF057C"/>
    <w:rsid w:val="00CF06E6"/>
    <w:rsid w:val="00CF0DE8"/>
    <w:rsid w:val="00CF0E93"/>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50A9"/>
    <w:rsid w:val="00CF51CE"/>
    <w:rsid w:val="00CF5AF9"/>
    <w:rsid w:val="00CF5F1C"/>
    <w:rsid w:val="00CF61A3"/>
    <w:rsid w:val="00CF666E"/>
    <w:rsid w:val="00CF66DE"/>
    <w:rsid w:val="00CF6848"/>
    <w:rsid w:val="00CF6AF3"/>
    <w:rsid w:val="00CF6BC9"/>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8A9"/>
    <w:rsid w:val="00D078C9"/>
    <w:rsid w:val="00D07DCA"/>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2430"/>
    <w:rsid w:val="00D324D7"/>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236"/>
    <w:rsid w:val="00D3646C"/>
    <w:rsid w:val="00D3668C"/>
    <w:rsid w:val="00D366D3"/>
    <w:rsid w:val="00D369EA"/>
    <w:rsid w:val="00D36B8A"/>
    <w:rsid w:val="00D36C0D"/>
    <w:rsid w:val="00D36C8E"/>
    <w:rsid w:val="00D36C97"/>
    <w:rsid w:val="00D36EEC"/>
    <w:rsid w:val="00D370D6"/>
    <w:rsid w:val="00D3750E"/>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4BF"/>
    <w:rsid w:val="00D429DA"/>
    <w:rsid w:val="00D42B71"/>
    <w:rsid w:val="00D42D7E"/>
    <w:rsid w:val="00D4357D"/>
    <w:rsid w:val="00D435FC"/>
    <w:rsid w:val="00D4370A"/>
    <w:rsid w:val="00D43888"/>
    <w:rsid w:val="00D43946"/>
    <w:rsid w:val="00D43AF2"/>
    <w:rsid w:val="00D43BF0"/>
    <w:rsid w:val="00D43E0A"/>
    <w:rsid w:val="00D43EF4"/>
    <w:rsid w:val="00D440D2"/>
    <w:rsid w:val="00D4429F"/>
    <w:rsid w:val="00D44336"/>
    <w:rsid w:val="00D448BD"/>
    <w:rsid w:val="00D44A5C"/>
    <w:rsid w:val="00D44EE3"/>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A31"/>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811"/>
    <w:rsid w:val="00DB0E17"/>
    <w:rsid w:val="00DB1539"/>
    <w:rsid w:val="00DB191A"/>
    <w:rsid w:val="00DB1DEC"/>
    <w:rsid w:val="00DB1EF0"/>
    <w:rsid w:val="00DB1F98"/>
    <w:rsid w:val="00DB2551"/>
    <w:rsid w:val="00DB2F24"/>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83E"/>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52"/>
    <w:rsid w:val="00E02CD9"/>
    <w:rsid w:val="00E032C1"/>
    <w:rsid w:val="00E03354"/>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2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357"/>
    <w:rsid w:val="00E136AE"/>
    <w:rsid w:val="00E137EA"/>
    <w:rsid w:val="00E139D0"/>
    <w:rsid w:val="00E13ED1"/>
    <w:rsid w:val="00E140C2"/>
    <w:rsid w:val="00E14372"/>
    <w:rsid w:val="00E14373"/>
    <w:rsid w:val="00E143F1"/>
    <w:rsid w:val="00E145E0"/>
    <w:rsid w:val="00E14735"/>
    <w:rsid w:val="00E14845"/>
    <w:rsid w:val="00E1487E"/>
    <w:rsid w:val="00E14913"/>
    <w:rsid w:val="00E14F7D"/>
    <w:rsid w:val="00E150B1"/>
    <w:rsid w:val="00E151F7"/>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3AD"/>
    <w:rsid w:val="00E2690E"/>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362"/>
    <w:rsid w:val="00E40A35"/>
    <w:rsid w:val="00E40DAE"/>
    <w:rsid w:val="00E417FF"/>
    <w:rsid w:val="00E41A3E"/>
    <w:rsid w:val="00E41D2F"/>
    <w:rsid w:val="00E41D85"/>
    <w:rsid w:val="00E4240E"/>
    <w:rsid w:val="00E42FF3"/>
    <w:rsid w:val="00E430FF"/>
    <w:rsid w:val="00E432AE"/>
    <w:rsid w:val="00E43510"/>
    <w:rsid w:val="00E4356E"/>
    <w:rsid w:val="00E4392B"/>
    <w:rsid w:val="00E43F1E"/>
    <w:rsid w:val="00E43FBE"/>
    <w:rsid w:val="00E448AA"/>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A34"/>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2D6"/>
    <w:rsid w:val="00E83469"/>
    <w:rsid w:val="00E83639"/>
    <w:rsid w:val="00E83B9E"/>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1F0A"/>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07"/>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A7E"/>
    <w:rsid w:val="00EA3D67"/>
    <w:rsid w:val="00EA3DB9"/>
    <w:rsid w:val="00EA4581"/>
    <w:rsid w:val="00EA475F"/>
    <w:rsid w:val="00EA4877"/>
    <w:rsid w:val="00EA4A7A"/>
    <w:rsid w:val="00EA4AC2"/>
    <w:rsid w:val="00EA5029"/>
    <w:rsid w:val="00EA5335"/>
    <w:rsid w:val="00EA54AB"/>
    <w:rsid w:val="00EA57C5"/>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9E0"/>
    <w:rsid w:val="00EE506B"/>
    <w:rsid w:val="00EE5112"/>
    <w:rsid w:val="00EE5289"/>
    <w:rsid w:val="00EE52B9"/>
    <w:rsid w:val="00EE543E"/>
    <w:rsid w:val="00EE5854"/>
    <w:rsid w:val="00EE5CF1"/>
    <w:rsid w:val="00EE5E0A"/>
    <w:rsid w:val="00EE62B4"/>
    <w:rsid w:val="00EE6359"/>
    <w:rsid w:val="00EE636D"/>
    <w:rsid w:val="00EE66B1"/>
    <w:rsid w:val="00EE67A5"/>
    <w:rsid w:val="00EE6A33"/>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DBA"/>
    <w:rsid w:val="00EF6EE6"/>
    <w:rsid w:val="00EF6EF5"/>
    <w:rsid w:val="00EF6F55"/>
    <w:rsid w:val="00EF7194"/>
    <w:rsid w:val="00EF73AB"/>
    <w:rsid w:val="00EF7614"/>
    <w:rsid w:val="00EF7878"/>
    <w:rsid w:val="00EF7B33"/>
    <w:rsid w:val="00EF7DD6"/>
    <w:rsid w:val="00F000F0"/>
    <w:rsid w:val="00F00180"/>
    <w:rsid w:val="00F0044F"/>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DF"/>
    <w:rsid w:val="00F03300"/>
    <w:rsid w:val="00F033D6"/>
    <w:rsid w:val="00F03466"/>
    <w:rsid w:val="00F034C5"/>
    <w:rsid w:val="00F0388F"/>
    <w:rsid w:val="00F03891"/>
    <w:rsid w:val="00F03C9E"/>
    <w:rsid w:val="00F03F3F"/>
    <w:rsid w:val="00F041E5"/>
    <w:rsid w:val="00F04523"/>
    <w:rsid w:val="00F04551"/>
    <w:rsid w:val="00F04A65"/>
    <w:rsid w:val="00F04B22"/>
    <w:rsid w:val="00F04D38"/>
    <w:rsid w:val="00F04D51"/>
    <w:rsid w:val="00F04F3E"/>
    <w:rsid w:val="00F0522E"/>
    <w:rsid w:val="00F057AA"/>
    <w:rsid w:val="00F05EED"/>
    <w:rsid w:val="00F05FB0"/>
    <w:rsid w:val="00F06767"/>
    <w:rsid w:val="00F06962"/>
    <w:rsid w:val="00F06D91"/>
    <w:rsid w:val="00F06F02"/>
    <w:rsid w:val="00F07E11"/>
    <w:rsid w:val="00F10437"/>
    <w:rsid w:val="00F10465"/>
    <w:rsid w:val="00F10864"/>
    <w:rsid w:val="00F108F5"/>
    <w:rsid w:val="00F11003"/>
    <w:rsid w:val="00F11145"/>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47"/>
    <w:rsid w:val="00F17A8F"/>
    <w:rsid w:val="00F17AD5"/>
    <w:rsid w:val="00F17CA7"/>
    <w:rsid w:val="00F20046"/>
    <w:rsid w:val="00F206FE"/>
    <w:rsid w:val="00F20B13"/>
    <w:rsid w:val="00F20C6E"/>
    <w:rsid w:val="00F20F5B"/>
    <w:rsid w:val="00F20F67"/>
    <w:rsid w:val="00F21048"/>
    <w:rsid w:val="00F210AB"/>
    <w:rsid w:val="00F213C6"/>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BD8"/>
    <w:rsid w:val="00F24F4D"/>
    <w:rsid w:val="00F24FA0"/>
    <w:rsid w:val="00F250CE"/>
    <w:rsid w:val="00F2513A"/>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26"/>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7F"/>
    <w:rsid w:val="00F71A99"/>
    <w:rsid w:val="00F71AD7"/>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429"/>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737"/>
    <w:rsid w:val="00F9473D"/>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E0B"/>
    <w:rsid w:val="00FA4EDE"/>
    <w:rsid w:val="00FA50E8"/>
    <w:rsid w:val="00FA5204"/>
    <w:rsid w:val="00FA526F"/>
    <w:rsid w:val="00FA53C1"/>
    <w:rsid w:val="00FA5412"/>
    <w:rsid w:val="00FA545C"/>
    <w:rsid w:val="00FA5527"/>
    <w:rsid w:val="00FA5795"/>
    <w:rsid w:val="00FA5871"/>
    <w:rsid w:val="00FA589E"/>
    <w:rsid w:val="00FA5962"/>
    <w:rsid w:val="00FA5995"/>
    <w:rsid w:val="00FA5CEE"/>
    <w:rsid w:val="00FA5D82"/>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3DE1"/>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42"/>
    <w:rsid w:val="00FC28A2"/>
    <w:rsid w:val="00FC2EED"/>
    <w:rsid w:val="00FC330F"/>
    <w:rsid w:val="00FC37F0"/>
    <w:rsid w:val="00FC3BBC"/>
    <w:rsid w:val="00FC3EEB"/>
    <w:rsid w:val="00FC400F"/>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417"/>
    <w:rsid w:val="00FC752F"/>
    <w:rsid w:val="00FC7DD2"/>
    <w:rsid w:val="00FC7E15"/>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2D57"/>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60E"/>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FB"/>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 w:type="table" w:customStyle="1" w:styleId="TableGrid1">
    <w:name w:val="Table Grid1"/>
    <w:basedOn w:val="TableNormal"/>
    <w:next w:val="TableGrid"/>
    <w:uiPriority w:val="59"/>
    <w:qFormat/>
    <w:rsid w:val="00326C4D"/>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1614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84593481">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27720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86741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1815912">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31461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630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5/Docs/R1-2106335.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613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5/Docs/R1-21061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09A7B933-61A3-419A-9FC2-FB4D7C2540D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1CA5FFC-35E9-4C9E-982A-5317C4477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1828</TotalTime>
  <Pages>3</Pages>
  <Words>1091</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CTPClassification=CTP_IC:VisualMarkings=, CTPClassification=CTP_IC</cp:keywords>
  <dc:description/>
  <cp:lastModifiedBy>Paul Marinier</cp:lastModifiedBy>
  <cp:revision>24</cp:revision>
  <cp:lastPrinted>2011-11-09T07:49:00Z</cp:lastPrinted>
  <dcterms:created xsi:type="dcterms:W3CDTF">2021-04-05T13:20:00Z</dcterms:created>
  <dcterms:modified xsi:type="dcterms:W3CDTF">2021-08-07T01:45:00Z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